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4F4C" w14:textId="77777777" w:rsidR="002E08C2" w:rsidRDefault="002E08C2" w:rsidP="002E08C2">
      <w:pPr>
        <w:rPr>
          <w:lang w:val="de-DE"/>
        </w:rPr>
      </w:pPr>
      <w:bookmarkStart w:id="0" w:name="_Toc485735992"/>
      <w:r>
        <w:rPr>
          <w:noProof/>
        </w:rPr>
        <w:drawing>
          <wp:anchor distT="0" distB="0" distL="114300" distR="114300" simplePos="0" relativeHeight="251659264" behindDoc="1" locked="0" layoutInCell="1" allowOverlap="1" wp14:anchorId="4042D6B8" wp14:editId="5F341CE5">
            <wp:simplePos x="0" y="0"/>
            <wp:positionH relativeFrom="page">
              <wp:align>left</wp:align>
            </wp:positionH>
            <wp:positionV relativeFrom="paragraph">
              <wp:posOffset>-1260475</wp:posOffset>
            </wp:positionV>
            <wp:extent cx="7555423" cy="13144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423" cy="1314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6D45650A" wp14:editId="1A422766">
                <wp:simplePos x="0" y="0"/>
                <wp:positionH relativeFrom="column">
                  <wp:posOffset>3564255</wp:posOffset>
                </wp:positionH>
                <wp:positionV relativeFrom="paragraph">
                  <wp:posOffset>95250</wp:posOffset>
                </wp:positionV>
                <wp:extent cx="2415540" cy="1418590"/>
                <wp:effectExtent l="0" t="0" r="381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1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D1714" w14:textId="77777777" w:rsidR="002E08C2" w:rsidRDefault="002E08C2" w:rsidP="002E08C2">
                            <w:pPr>
                              <w:pStyle w:val="EinfAbs"/>
                              <w:jc w:val="right"/>
                              <w:rPr>
                                <w:rFonts w:ascii="Arial" w:hAnsi="Arial" w:cs="Arial"/>
                                <w:color w:val="3B5A6D"/>
                                <w:sz w:val="18"/>
                                <w:szCs w:val="18"/>
                              </w:rPr>
                            </w:pPr>
                            <w:r>
                              <w:rPr>
                                <w:rFonts w:ascii="Arial" w:hAnsi="Arial" w:cs="Arial"/>
                                <w:color w:val="3B5A6D"/>
                                <w:sz w:val="18"/>
                                <w:szCs w:val="18"/>
                              </w:rPr>
                              <w:t>Bilanzbuchhalter</w:t>
                            </w:r>
                          </w:p>
                          <w:p w14:paraId="5F8B1874" w14:textId="77777777" w:rsidR="002E08C2" w:rsidRDefault="002E08C2" w:rsidP="002E08C2">
                            <w:pPr>
                              <w:pStyle w:val="EinfAbs"/>
                              <w:jc w:val="right"/>
                              <w:rPr>
                                <w:rFonts w:ascii="Arial" w:hAnsi="Arial" w:cs="Arial"/>
                                <w:color w:val="3B5A6D"/>
                                <w:sz w:val="12"/>
                                <w:szCs w:val="12"/>
                              </w:rPr>
                            </w:pPr>
                            <w:r>
                              <w:rPr>
                                <w:rFonts w:ascii="Arial" w:hAnsi="Arial" w:cs="Arial"/>
                                <w:color w:val="3B5A6D"/>
                                <w:sz w:val="12"/>
                                <w:szCs w:val="12"/>
                              </w:rPr>
                              <w:t>(Paritätische Kommission Österreich)</w:t>
                            </w:r>
                          </w:p>
                          <w:p w14:paraId="76361133" w14:textId="77777777" w:rsidR="002E08C2" w:rsidRDefault="002E08C2" w:rsidP="002E08C2">
                            <w:pPr>
                              <w:pStyle w:val="EinfAbs"/>
                              <w:jc w:val="right"/>
                              <w:rPr>
                                <w:rFonts w:ascii="Arial" w:hAnsi="Arial" w:cs="Arial"/>
                                <w:color w:val="3B5A6D"/>
                                <w:sz w:val="18"/>
                                <w:szCs w:val="18"/>
                              </w:rPr>
                            </w:pPr>
                            <w:r>
                              <w:rPr>
                                <w:rFonts w:ascii="Arial" w:hAnsi="Arial" w:cs="Arial"/>
                                <w:color w:val="3B5A6D"/>
                                <w:sz w:val="18"/>
                                <w:szCs w:val="18"/>
                              </w:rPr>
                              <w:t>Steuerberater</w:t>
                            </w:r>
                          </w:p>
                          <w:p w14:paraId="133EDA6D" w14:textId="77777777" w:rsidR="002E08C2" w:rsidRDefault="002E08C2" w:rsidP="002E08C2">
                            <w:pPr>
                              <w:pStyle w:val="EinfAbs"/>
                              <w:jc w:val="right"/>
                              <w:rPr>
                                <w:rFonts w:ascii="Arial" w:hAnsi="Arial" w:cs="Arial"/>
                                <w:color w:val="3B5A6D"/>
                                <w:sz w:val="12"/>
                                <w:szCs w:val="12"/>
                              </w:rPr>
                            </w:pPr>
                            <w:r>
                              <w:rPr>
                                <w:rFonts w:ascii="Arial" w:hAnsi="Arial" w:cs="Arial"/>
                                <w:color w:val="3B5A6D"/>
                                <w:sz w:val="12"/>
                                <w:szCs w:val="12"/>
                              </w:rPr>
                              <w:t>(Kammer der Steuerberater und Wirtschaftsprüfer Österreich)</w:t>
                            </w:r>
                          </w:p>
                          <w:p w14:paraId="6D4E35AD" w14:textId="77777777" w:rsidR="002E08C2" w:rsidRDefault="002E08C2" w:rsidP="002E08C2">
                            <w:pPr>
                              <w:pStyle w:val="EinfAbs"/>
                              <w:jc w:val="right"/>
                              <w:rPr>
                                <w:rFonts w:ascii="Arial" w:hAnsi="Arial" w:cs="Arial"/>
                                <w:color w:val="3B5A6D"/>
                                <w:sz w:val="18"/>
                                <w:szCs w:val="18"/>
                              </w:rPr>
                            </w:pPr>
                            <w:r>
                              <w:rPr>
                                <w:rFonts w:ascii="Arial" w:hAnsi="Arial" w:cs="Arial"/>
                                <w:color w:val="3B5A6D"/>
                                <w:sz w:val="18"/>
                                <w:szCs w:val="18"/>
                              </w:rPr>
                              <w:t>Steuerberater</w:t>
                            </w:r>
                          </w:p>
                          <w:p w14:paraId="6C6E22E2" w14:textId="77777777" w:rsidR="002E08C2" w:rsidRDefault="002E08C2" w:rsidP="002E08C2">
                            <w:pPr>
                              <w:pStyle w:val="EinfAbs"/>
                              <w:jc w:val="right"/>
                              <w:rPr>
                                <w:rFonts w:ascii="Arial" w:hAnsi="Arial" w:cs="Arial"/>
                                <w:color w:val="3B5A6D"/>
                                <w:sz w:val="12"/>
                                <w:szCs w:val="12"/>
                              </w:rPr>
                            </w:pPr>
                            <w:r>
                              <w:rPr>
                                <w:rFonts w:ascii="Arial" w:hAnsi="Arial" w:cs="Arial"/>
                                <w:color w:val="3B5A6D"/>
                                <w:sz w:val="12"/>
                                <w:szCs w:val="12"/>
                              </w:rPr>
                              <w:t>(Steuerberaterkammer Nürnberg Deutschland)</w:t>
                            </w:r>
                          </w:p>
                          <w:p w14:paraId="583D2DD0" w14:textId="77777777" w:rsidR="002E08C2" w:rsidRDefault="002E08C2" w:rsidP="002E08C2">
                            <w:pPr>
                              <w:pStyle w:val="EinfAbs"/>
                              <w:jc w:val="right"/>
                              <w:rPr>
                                <w:rFonts w:ascii="Arial" w:hAnsi="Arial" w:cs="Arial"/>
                                <w:color w:val="00324C"/>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5650A" id="_x0000_t202" coordsize="21600,21600" o:spt="202" path="m,l,21600r21600,l21600,xe">
                <v:stroke joinstyle="miter"/>
                <v:path gradientshapeok="t" o:connecttype="rect"/>
              </v:shapetype>
              <v:shape id="Textfeld 11" o:spid="_x0000_s1026" type="#_x0000_t202" style="position:absolute;margin-left:280.65pt;margin-top:7.5pt;width:190.2pt;height:1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" o:allowincell="f" stroked="f">
                <v:textbox>
                  <w:txbxContent>
                    <w:p w14:paraId="029D1714" w14:textId="77777777" w:rsidR="002E08C2" w:rsidRDefault="002E08C2" w:rsidP="002E08C2">
                      <w:pPr>
                        <w:pStyle w:val="EinfAbs"/>
                        <w:jc w:val="right"/>
                        <w:rPr>
                          <w:rFonts w:ascii="Arial" w:hAnsi="Arial" w:cs="Arial"/>
                          <w:color w:val="3B5A6D"/>
                          <w:sz w:val="18"/>
                          <w:szCs w:val="18"/>
                        </w:rPr>
                      </w:pPr>
                      <w:r>
                        <w:rPr>
                          <w:rFonts w:ascii="Arial" w:hAnsi="Arial" w:cs="Arial"/>
                          <w:color w:val="3B5A6D"/>
                          <w:sz w:val="18"/>
                          <w:szCs w:val="18"/>
                        </w:rPr>
                        <w:t>Bilanzbuchhalter</w:t>
                      </w:r>
                    </w:p>
                    <w:p w14:paraId="5F8B1874" w14:textId="77777777" w:rsidR="002E08C2" w:rsidRDefault="002E08C2" w:rsidP="002E08C2">
                      <w:pPr>
                        <w:pStyle w:val="EinfAbs"/>
                        <w:jc w:val="right"/>
                        <w:rPr>
                          <w:rFonts w:ascii="Arial" w:hAnsi="Arial" w:cs="Arial"/>
                          <w:color w:val="3B5A6D"/>
                          <w:sz w:val="12"/>
                          <w:szCs w:val="12"/>
                        </w:rPr>
                      </w:pPr>
                      <w:r>
                        <w:rPr>
                          <w:rFonts w:ascii="Arial" w:hAnsi="Arial" w:cs="Arial"/>
                          <w:color w:val="3B5A6D"/>
                          <w:sz w:val="12"/>
                          <w:szCs w:val="12"/>
                        </w:rPr>
                        <w:t>(Paritätische Kommission Österreich)</w:t>
                      </w:r>
                    </w:p>
                    <w:p w14:paraId="76361133" w14:textId="77777777" w:rsidR="002E08C2" w:rsidRDefault="002E08C2" w:rsidP="002E08C2">
                      <w:pPr>
                        <w:pStyle w:val="EinfAbs"/>
                        <w:jc w:val="right"/>
                        <w:rPr>
                          <w:rFonts w:ascii="Arial" w:hAnsi="Arial" w:cs="Arial"/>
                          <w:color w:val="3B5A6D"/>
                          <w:sz w:val="18"/>
                          <w:szCs w:val="18"/>
                        </w:rPr>
                      </w:pPr>
                      <w:r>
                        <w:rPr>
                          <w:rFonts w:ascii="Arial" w:hAnsi="Arial" w:cs="Arial"/>
                          <w:color w:val="3B5A6D"/>
                          <w:sz w:val="18"/>
                          <w:szCs w:val="18"/>
                        </w:rPr>
                        <w:t>Steuerberater</w:t>
                      </w:r>
                    </w:p>
                    <w:p w14:paraId="133EDA6D" w14:textId="77777777" w:rsidR="002E08C2" w:rsidRDefault="002E08C2" w:rsidP="002E08C2">
                      <w:pPr>
                        <w:pStyle w:val="EinfAbs"/>
                        <w:jc w:val="right"/>
                        <w:rPr>
                          <w:rFonts w:ascii="Arial" w:hAnsi="Arial" w:cs="Arial"/>
                          <w:color w:val="3B5A6D"/>
                          <w:sz w:val="12"/>
                          <w:szCs w:val="12"/>
                        </w:rPr>
                      </w:pPr>
                      <w:r>
                        <w:rPr>
                          <w:rFonts w:ascii="Arial" w:hAnsi="Arial" w:cs="Arial"/>
                          <w:color w:val="3B5A6D"/>
                          <w:sz w:val="12"/>
                          <w:szCs w:val="12"/>
                        </w:rPr>
                        <w:t>(Kammer der Steuerberater und Wirtschaftsprüfer Österreich)</w:t>
                      </w:r>
                    </w:p>
                    <w:p w14:paraId="6D4E35AD" w14:textId="77777777" w:rsidR="002E08C2" w:rsidRDefault="002E08C2" w:rsidP="002E08C2">
                      <w:pPr>
                        <w:pStyle w:val="EinfAbs"/>
                        <w:jc w:val="right"/>
                        <w:rPr>
                          <w:rFonts w:ascii="Arial" w:hAnsi="Arial" w:cs="Arial"/>
                          <w:color w:val="3B5A6D"/>
                          <w:sz w:val="18"/>
                          <w:szCs w:val="18"/>
                        </w:rPr>
                      </w:pPr>
                      <w:r>
                        <w:rPr>
                          <w:rFonts w:ascii="Arial" w:hAnsi="Arial" w:cs="Arial"/>
                          <w:color w:val="3B5A6D"/>
                          <w:sz w:val="18"/>
                          <w:szCs w:val="18"/>
                        </w:rPr>
                        <w:t>Steuerberater</w:t>
                      </w:r>
                    </w:p>
                    <w:p w14:paraId="6C6E22E2" w14:textId="77777777" w:rsidR="002E08C2" w:rsidRDefault="002E08C2" w:rsidP="002E08C2">
                      <w:pPr>
                        <w:pStyle w:val="EinfAbs"/>
                        <w:jc w:val="right"/>
                        <w:rPr>
                          <w:rFonts w:ascii="Arial" w:hAnsi="Arial" w:cs="Arial"/>
                          <w:color w:val="3B5A6D"/>
                          <w:sz w:val="12"/>
                          <w:szCs w:val="12"/>
                        </w:rPr>
                      </w:pPr>
                      <w:r>
                        <w:rPr>
                          <w:rFonts w:ascii="Arial" w:hAnsi="Arial" w:cs="Arial"/>
                          <w:color w:val="3B5A6D"/>
                          <w:sz w:val="12"/>
                          <w:szCs w:val="12"/>
                        </w:rPr>
                        <w:t>(Steuerberaterkammer Nürnberg Deutschland)</w:t>
                      </w:r>
                    </w:p>
                    <w:p w14:paraId="583D2DD0" w14:textId="77777777" w:rsidR="002E08C2" w:rsidRDefault="002E08C2" w:rsidP="002E08C2">
                      <w:pPr>
                        <w:pStyle w:val="EinfAbs"/>
                        <w:jc w:val="right"/>
                        <w:rPr>
                          <w:rFonts w:ascii="Arial" w:hAnsi="Arial" w:cs="Arial"/>
                          <w:color w:val="00324C"/>
                          <w:sz w:val="16"/>
                          <w:szCs w:val="16"/>
                        </w:rPr>
                      </w:pPr>
                    </w:p>
                  </w:txbxContent>
                </v:textbox>
              </v:shape>
            </w:pict>
          </mc:Fallback>
        </mc:AlternateContent>
      </w:r>
    </w:p>
    <w:p w14:paraId="1430D2A1" w14:textId="77777777" w:rsidR="002E08C2" w:rsidRDefault="002E08C2" w:rsidP="002E08C2">
      <w:pPr>
        <w:rPr>
          <w:lang w:val="de-DE"/>
        </w:rPr>
      </w:pPr>
    </w:p>
    <w:p w14:paraId="300D30EC" w14:textId="77777777" w:rsidR="002E08C2" w:rsidRDefault="002E08C2" w:rsidP="002E08C2">
      <w:pPr>
        <w:rPr>
          <w:lang w:val="de-DE"/>
        </w:rPr>
      </w:pPr>
    </w:p>
    <w:p w14:paraId="051A9DB0" w14:textId="77777777" w:rsidR="002E08C2" w:rsidRDefault="002E08C2" w:rsidP="002E08C2">
      <w:pPr>
        <w:rPr>
          <w:lang w:val="de-DE"/>
        </w:rPr>
      </w:pPr>
    </w:p>
    <w:p w14:paraId="69201525" w14:textId="77777777" w:rsidR="002E08C2" w:rsidRDefault="002E08C2" w:rsidP="002E08C2">
      <w:pPr>
        <w:rPr>
          <w:lang w:val="de-DE"/>
        </w:rPr>
      </w:pPr>
    </w:p>
    <w:p w14:paraId="0ED80CBA" w14:textId="77777777" w:rsidR="002E08C2" w:rsidRDefault="002E08C2" w:rsidP="002E08C2">
      <w:pPr>
        <w:rPr>
          <w:lang w:val="de-DE"/>
        </w:rPr>
      </w:pPr>
    </w:p>
    <w:p w14:paraId="116CFEB6" w14:textId="77777777" w:rsidR="002E08C2" w:rsidRDefault="002E08C2" w:rsidP="002E08C2">
      <w:pPr>
        <w:rPr>
          <w:lang w:val="de-DE"/>
        </w:rPr>
      </w:pPr>
    </w:p>
    <w:p w14:paraId="1D743601" w14:textId="77777777" w:rsidR="002E08C2" w:rsidRDefault="002E08C2" w:rsidP="002E08C2">
      <w:pPr>
        <w:rPr>
          <w:lang w:val="de-DE"/>
        </w:rPr>
      </w:pPr>
    </w:p>
    <w:p w14:paraId="0E488C73" w14:textId="77777777" w:rsidR="002E08C2" w:rsidRDefault="002E08C2" w:rsidP="002E08C2">
      <w:pPr>
        <w:rPr>
          <w:lang w:val="de-DE"/>
        </w:rPr>
      </w:pPr>
    </w:p>
    <w:p w14:paraId="1040C137" w14:textId="77777777" w:rsidR="002E08C2" w:rsidRDefault="002E08C2" w:rsidP="002E08C2">
      <w:pPr>
        <w:rPr>
          <w:lang w:val="de-DE"/>
        </w:rPr>
      </w:pPr>
    </w:p>
    <w:p w14:paraId="1F411F9E" w14:textId="77777777" w:rsidR="002E08C2" w:rsidRDefault="002E08C2" w:rsidP="002E08C2">
      <w:pPr>
        <w:rPr>
          <w:lang w:val="de-DE"/>
        </w:rPr>
      </w:pPr>
    </w:p>
    <w:p w14:paraId="2066B290" w14:textId="77777777" w:rsidR="002E08C2" w:rsidRDefault="002E08C2" w:rsidP="002E08C2">
      <w:pPr>
        <w:pBdr>
          <w:top w:val="single" w:sz="4" w:space="1" w:color="auto"/>
          <w:left w:val="single" w:sz="4" w:space="4" w:color="auto"/>
          <w:bottom w:val="single" w:sz="4" w:space="1" w:color="auto"/>
          <w:right w:val="single" w:sz="4" w:space="3" w:color="auto"/>
        </w:pBdr>
        <w:ind w:right="141"/>
        <w:jc w:val="center"/>
        <w:rPr>
          <w:rFonts w:cs="Arial"/>
          <w:b/>
          <w:sz w:val="44"/>
        </w:rPr>
      </w:pPr>
      <w:r>
        <w:rPr>
          <w:rFonts w:cs="Arial"/>
          <w:b/>
          <w:sz w:val="44"/>
        </w:rPr>
        <w:t>Klienten-Info</w:t>
      </w:r>
    </w:p>
    <w:p w14:paraId="1EDD00B4" w14:textId="51FABC20" w:rsidR="002E08C2" w:rsidRDefault="002E08C2" w:rsidP="002E08C2">
      <w:pPr>
        <w:pBdr>
          <w:top w:val="single" w:sz="4" w:space="1" w:color="auto"/>
          <w:left w:val="single" w:sz="4" w:space="4" w:color="auto"/>
          <w:bottom w:val="single" w:sz="4" w:space="1" w:color="auto"/>
          <w:right w:val="single" w:sz="4" w:space="3" w:color="auto"/>
        </w:pBdr>
        <w:ind w:right="141"/>
        <w:jc w:val="center"/>
        <w:rPr>
          <w:rFonts w:cs="Arial"/>
          <w:b/>
          <w:sz w:val="44"/>
        </w:rPr>
      </w:pPr>
      <w:r>
        <w:rPr>
          <w:rFonts w:cs="Arial"/>
          <w:b/>
          <w:sz w:val="24"/>
        </w:rPr>
        <w:t xml:space="preserve">Ausgabe </w:t>
      </w:r>
      <w:r>
        <w:rPr>
          <w:rFonts w:cs="Arial"/>
          <w:b/>
          <w:sz w:val="24"/>
        </w:rPr>
        <w:t>3</w:t>
      </w:r>
      <w:r>
        <w:rPr>
          <w:rFonts w:cs="Arial"/>
          <w:b/>
          <w:sz w:val="24"/>
        </w:rPr>
        <w:t>/2021</w:t>
      </w:r>
    </w:p>
    <w:p w14:paraId="1F70AA52" w14:textId="77777777" w:rsidR="002E08C2" w:rsidRPr="00D409E4" w:rsidRDefault="002E08C2" w:rsidP="002E08C2">
      <w:pPr>
        <w:tabs>
          <w:tab w:val="right" w:leader="dot" w:pos="9214"/>
        </w:tabs>
        <w:spacing w:line="276" w:lineRule="auto"/>
        <w:jc w:val="both"/>
        <w:rPr>
          <w:rFonts w:cs="Arial"/>
          <w:lang w:val="de-DE"/>
        </w:rPr>
      </w:pPr>
    </w:p>
    <w:p w14:paraId="3E640040" w14:textId="5F0B4EE8" w:rsidR="005B3167" w:rsidRPr="002E08C2" w:rsidRDefault="00206CC8" w:rsidP="00106EDD">
      <w:pPr>
        <w:spacing w:after="240" w:line="276" w:lineRule="auto"/>
        <w:jc w:val="both"/>
        <w:rPr>
          <w:b/>
          <w:bCs/>
          <w:color w:val="007CA8"/>
          <w:sz w:val="24"/>
          <w:szCs w:val="24"/>
        </w:rPr>
      </w:pPr>
      <w:r w:rsidRPr="002E08C2">
        <w:rPr>
          <w:b/>
          <w:bCs/>
          <w:color w:val="007CA8"/>
          <w:sz w:val="24"/>
          <w:szCs w:val="24"/>
        </w:rPr>
        <w:t>EDITORIAL</w:t>
      </w:r>
      <w:bookmarkEnd w:id="0"/>
    </w:p>
    <w:p w14:paraId="40FE49A2" w14:textId="2EAD9926" w:rsidR="004C0F13" w:rsidRPr="00BE79F7" w:rsidRDefault="00F0634D" w:rsidP="00445076">
      <w:pPr>
        <w:tabs>
          <w:tab w:val="left" w:pos="426"/>
        </w:tabs>
        <w:spacing w:before="120" w:after="120" w:line="276" w:lineRule="auto"/>
        <w:jc w:val="both"/>
        <w:rPr>
          <w:rFonts w:cs="Arial"/>
          <w:color w:val="000000"/>
        </w:rPr>
      </w:pPr>
      <w:r w:rsidRPr="000407AF">
        <w:t xml:space="preserve">Endlich sind </w:t>
      </w:r>
      <w:r w:rsidR="007C4DA7" w:rsidRPr="000407AF">
        <w:t xml:space="preserve">seit </w:t>
      </w:r>
      <w:r w:rsidR="000407AF" w:rsidRPr="000407AF">
        <w:t xml:space="preserve">Mitte Mai </w:t>
      </w:r>
      <w:r w:rsidRPr="000407AF">
        <w:t>wieder Gastronomie und Kulturinstitutionen geöffnet. Damit laufen – mit Aus</w:t>
      </w:r>
      <w:r w:rsidRPr="00BE79F7">
        <w:rPr>
          <w:rFonts w:cs="Arial"/>
        </w:rPr>
        <w:t xml:space="preserve">nahme der Kurzarbeit Phase 5 - die COVID-19-Hilfsmaßnahmen </w:t>
      </w:r>
      <w:r w:rsidR="004C0F13" w:rsidRPr="00BE79F7">
        <w:rPr>
          <w:rFonts w:cs="Arial"/>
        </w:rPr>
        <w:t xml:space="preserve">grundsätzlich </w:t>
      </w:r>
      <w:r w:rsidRPr="00BE79F7">
        <w:rPr>
          <w:rFonts w:cs="Arial"/>
        </w:rPr>
        <w:t>per 30.6.2021</w:t>
      </w:r>
      <w:r w:rsidR="00445076" w:rsidRPr="00BE79F7">
        <w:rPr>
          <w:rFonts w:cs="Arial"/>
        </w:rPr>
        <w:t xml:space="preserve"> aus</w:t>
      </w:r>
      <w:r w:rsidRPr="00BE79F7">
        <w:rPr>
          <w:rFonts w:cs="Arial"/>
        </w:rPr>
        <w:t xml:space="preserve">. </w:t>
      </w:r>
      <w:r w:rsidR="004C0F13" w:rsidRPr="00BE79F7">
        <w:rPr>
          <w:rFonts w:cs="Arial"/>
        </w:rPr>
        <w:t xml:space="preserve">Vom Finanzminister wurde aber am 15.6.2021 angekündigt, </w:t>
      </w:r>
      <w:r w:rsidR="004C0F13" w:rsidRPr="00BE79F7">
        <w:rPr>
          <w:rFonts w:cs="Arial"/>
          <w:color w:val="000000"/>
        </w:rPr>
        <w:t>das</w:t>
      </w:r>
      <w:r w:rsidR="00FB76A4">
        <w:rPr>
          <w:rFonts w:cs="Arial"/>
          <w:color w:val="000000"/>
        </w:rPr>
        <w:t>s</w:t>
      </w:r>
      <w:r w:rsidR="004C0F13" w:rsidRPr="00BE79F7">
        <w:rPr>
          <w:rFonts w:cs="Arial"/>
          <w:color w:val="000000"/>
        </w:rPr>
        <w:t xml:space="preserve"> es zu einer adaptierten Verlängerung des Ausfallsbonus sowie des Härtefallfonds um 3 Monate bis September</w:t>
      </w:r>
      <w:r w:rsidR="00FB76A4">
        <w:rPr>
          <w:rFonts w:cs="Arial"/>
          <w:color w:val="000000"/>
        </w:rPr>
        <w:t xml:space="preserve"> 2021</w:t>
      </w:r>
      <w:r w:rsidR="004C0F13" w:rsidRPr="00BE79F7">
        <w:rPr>
          <w:rFonts w:cs="Arial"/>
          <w:color w:val="000000"/>
        </w:rPr>
        <w:t xml:space="preserve">, des Verlustersatzes um 6 Monate bis Dezember </w:t>
      </w:r>
      <w:r w:rsidR="00FB76A4">
        <w:rPr>
          <w:rFonts w:cs="Arial"/>
          <w:color w:val="000000"/>
        </w:rPr>
        <w:t xml:space="preserve">2021 </w:t>
      </w:r>
      <w:r w:rsidR="004C0F13" w:rsidRPr="00BE79F7">
        <w:rPr>
          <w:rFonts w:cs="Arial"/>
          <w:color w:val="000000"/>
        </w:rPr>
        <w:t xml:space="preserve">sowie einer Ausweitung von Garantien und steuerrechtlichen Maßnahmen bis Jahresende für stark Betroffene kommen soll. </w:t>
      </w:r>
    </w:p>
    <w:p w14:paraId="3C17AD77" w14:textId="54D916D4" w:rsidR="00445076" w:rsidRPr="000407AF" w:rsidRDefault="000407AF" w:rsidP="00445076">
      <w:pPr>
        <w:tabs>
          <w:tab w:val="left" w:pos="426"/>
        </w:tabs>
        <w:spacing w:before="120" w:after="120" w:line="276" w:lineRule="auto"/>
        <w:jc w:val="both"/>
      </w:pPr>
      <w:r>
        <w:t xml:space="preserve">Die Wirtschaftsforscher </w:t>
      </w:r>
      <w:proofErr w:type="gramStart"/>
      <w:r>
        <w:t xml:space="preserve">prognostizieren </w:t>
      </w:r>
      <w:r w:rsidR="005F37C8">
        <w:t xml:space="preserve"> </w:t>
      </w:r>
      <w:r w:rsidR="004C0F13">
        <w:t>aber</w:t>
      </w:r>
      <w:proofErr w:type="gramEnd"/>
      <w:r w:rsidR="004C0F13">
        <w:t xml:space="preserve"> </w:t>
      </w:r>
      <w:r w:rsidR="005F37C8">
        <w:t>bereits</w:t>
      </w:r>
      <w:r w:rsidR="00BE79F7">
        <w:t xml:space="preserve"> </w:t>
      </w:r>
      <w:r>
        <w:t xml:space="preserve">erfreuliche Wachstumssteigerungen. </w:t>
      </w:r>
      <w:r w:rsidR="00246DA1">
        <w:t>So bleibt nur zu hoffen, dass de</w:t>
      </w:r>
      <w:r w:rsidR="00445076" w:rsidRPr="000407AF">
        <w:t>r wirtschaftliche Aufschwung nicht wieder im Herbst aufgrund von ansteigenden Infektionszahlen gebremst w</w:t>
      </w:r>
      <w:r w:rsidR="00246DA1">
        <w:t>ird. Wichtig dabei wird die</w:t>
      </w:r>
      <w:r w:rsidR="00445076" w:rsidRPr="000407AF">
        <w:t xml:space="preserve"> fortschreitende</w:t>
      </w:r>
      <w:r w:rsidR="007C4DA7" w:rsidRPr="000407AF">
        <w:t>n</w:t>
      </w:r>
      <w:r w:rsidR="00445076" w:rsidRPr="000407AF">
        <w:t xml:space="preserve"> Durchimpfung der Bevölkerung und auch </w:t>
      </w:r>
      <w:r w:rsidR="00246DA1">
        <w:t>die</w:t>
      </w:r>
      <w:r w:rsidR="00445076" w:rsidRPr="000407AF">
        <w:t xml:space="preserve"> weitere Einhaltung der bekannten Vorsichtsmaßnahmen </w:t>
      </w:r>
      <w:r w:rsidR="00246DA1">
        <w:t>sein.</w:t>
      </w:r>
      <w:r w:rsidR="00445076" w:rsidRPr="000407AF">
        <w:t xml:space="preserve"> </w:t>
      </w:r>
    </w:p>
    <w:p w14:paraId="139F511D" w14:textId="66B03933" w:rsidR="00AB3DA9" w:rsidRPr="000407AF" w:rsidRDefault="00AB3DA9" w:rsidP="00445076">
      <w:pPr>
        <w:tabs>
          <w:tab w:val="left" w:pos="426"/>
        </w:tabs>
        <w:spacing w:before="120" w:after="120" w:line="276" w:lineRule="auto"/>
        <w:jc w:val="both"/>
      </w:pPr>
      <w:r w:rsidRPr="000407AF">
        <w:t>In der vorliegende</w:t>
      </w:r>
      <w:r w:rsidR="007C4DA7" w:rsidRPr="000407AF">
        <w:t>n</w:t>
      </w:r>
      <w:r w:rsidRPr="000407AF">
        <w:t xml:space="preserve"> Ausgabe der KlientenINFO gehen wir auf die bilanziellen Auswirkungen der COVID-19-Hilfsma</w:t>
      </w:r>
      <w:r w:rsidR="0087123E">
        <w:t>ß</w:t>
      </w:r>
      <w:r w:rsidRPr="000407AF">
        <w:t>nahmen für den Jahresabschluss 2020 ein, widmen uns dem Thema Aufwandsentschädigung für Helfer bei den Test- und Impfstraßen, geben</w:t>
      </w:r>
      <w:r w:rsidR="00892E10" w:rsidRPr="000407AF">
        <w:t xml:space="preserve"> Ihnen</w:t>
      </w:r>
      <w:r w:rsidRPr="000407AF">
        <w:t xml:space="preserve"> einen Überblick auf die geplante Kurzarbeit Phase 5 </w:t>
      </w:r>
      <w:r w:rsidR="00892E10" w:rsidRPr="000407AF">
        <w:t xml:space="preserve">sowie Praxishinweise betreffend </w:t>
      </w:r>
      <w:r w:rsidRPr="000407AF">
        <w:t>der möglichen Ratenvereinbarung für Rückstände bei der ÖG</w:t>
      </w:r>
      <w:r w:rsidR="000B3B38" w:rsidRPr="000407AF">
        <w:t>K</w:t>
      </w:r>
      <w:r w:rsidRPr="000407AF">
        <w:t>.</w:t>
      </w:r>
    </w:p>
    <w:p w14:paraId="3C3B0424" w14:textId="1B9892EC" w:rsidR="00AB3DA9" w:rsidRPr="000407AF" w:rsidRDefault="00892E10" w:rsidP="00445076">
      <w:pPr>
        <w:tabs>
          <w:tab w:val="left" w:pos="426"/>
        </w:tabs>
        <w:spacing w:before="120" w:after="120" w:line="276" w:lineRule="auto"/>
        <w:jc w:val="both"/>
      </w:pPr>
      <w:r w:rsidRPr="000407AF">
        <w:t>Die zahlreichen Änderungen aufgrund der COVID-19-Regelungen haben durch den Wartungserlass 2021 Eingang in die Einkommensteuerrichtlinien gefunden, deren wesentliche Eckpunkte wir für Sie herausgreifen.</w:t>
      </w:r>
      <w:r w:rsidR="00AB3DA9" w:rsidRPr="000407AF">
        <w:t xml:space="preserve"> </w:t>
      </w:r>
    </w:p>
    <w:p w14:paraId="4FF67FE8" w14:textId="5EA157BB" w:rsidR="00892E10" w:rsidRPr="000407AF" w:rsidRDefault="000B3B38" w:rsidP="00445076">
      <w:pPr>
        <w:tabs>
          <w:tab w:val="left" w:pos="426"/>
        </w:tabs>
        <w:spacing w:before="120" w:after="120" w:line="276" w:lineRule="auto"/>
        <w:jc w:val="both"/>
      </w:pPr>
      <w:r w:rsidRPr="000407AF">
        <w:t>Eine Auswahl an interessanten Judikaten runden unsere aktuelle Information ab.</w:t>
      </w:r>
    </w:p>
    <w:p w14:paraId="247BD7B6" w14:textId="0D901151" w:rsidR="0068710C" w:rsidRPr="000407AF" w:rsidRDefault="00892E10" w:rsidP="00E64A4D">
      <w:pPr>
        <w:tabs>
          <w:tab w:val="left" w:pos="426"/>
        </w:tabs>
        <w:spacing w:before="120" w:after="120" w:line="276" w:lineRule="auto"/>
        <w:jc w:val="both"/>
      </w:pPr>
      <w:r w:rsidRPr="000407AF">
        <w:t>All</w:t>
      </w:r>
      <w:r w:rsidR="000B3B38" w:rsidRPr="000407AF">
        <w:t>e</w:t>
      </w:r>
      <w:r w:rsidRPr="000407AF">
        <w:t xml:space="preserve">s </w:t>
      </w:r>
      <w:r w:rsidR="007C4DA7" w:rsidRPr="000407AF">
        <w:t>über die möglichen</w:t>
      </w:r>
      <w:r w:rsidRPr="000407AF">
        <w:t xml:space="preserve"> Vorsteuererstattung</w:t>
      </w:r>
      <w:r w:rsidR="007C4DA7" w:rsidRPr="000407AF">
        <w:t>en</w:t>
      </w:r>
      <w:r w:rsidRPr="000407AF">
        <w:t xml:space="preserve"> und weitere wichtige Termine bis Ende September 2021 finden Sie in der Terminübersicht am Schluss dieser Ausgabe. </w:t>
      </w:r>
    </w:p>
    <w:p w14:paraId="2BC72BE3" w14:textId="0DB93432" w:rsidR="0068710C" w:rsidRDefault="00E64A4D" w:rsidP="00ED339D">
      <w:pPr>
        <w:spacing w:line="276" w:lineRule="auto"/>
        <w:jc w:val="both"/>
      </w:pPr>
      <w:r w:rsidRPr="000407AF">
        <w:t xml:space="preserve">Wir wünschen </w:t>
      </w:r>
      <w:r w:rsidR="00445076" w:rsidRPr="000407AF">
        <w:t>Ihnen erholsame Sommertage</w:t>
      </w:r>
      <w:r w:rsidRPr="000407AF">
        <w:t xml:space="preserve"> und b</w:t>
      </w:r>
      <w:r w:rsidR="0068710C" w:rsidRPr="000407AF">
        <w:t>leiben Sie gesund! Gemeinsam schaffen wir das!</w:t>
      </w:r>
    </w:p>
    <w:p w14:paraId="6ECAA8C6" w14:textId="77777777" w:rsidR="00E64A4D" w:rsidRDefault="00E64A4D" w:rsidP="00ED339D">
      <w:pPr>
        <w:spacing w:line="276" w:lineRule="auto"/>
        <w:jc w:val="both"/>
      </w:pPr>
    </w:p>
    <w:p w14:paraId="6BDCA04C" w14:textId="77777777" w:rsidR="0087427E" w:rsidRPr="002E08C2" w:rsidRDefault="0087427E" w:rsidP="00BE79F7">
      <w:pPr>
        <w:spacing w:after="240" w:line="276" w:lineRule="auto"/>
        <w:jc w:val="both"/>
        <w:rPr>
          <w:b/>
          <w:bCs/>
          <w:color w:val="007CA8"/>
          <w:sz w:val="24"/>
          <w:szCs w:val="24"/>
        </w:rPr>
      </w:pPr>
      <w:r w:rsidRPr="002E08C2">
        <w:rPr>
          <w:b/>
          <w:bCs/>
          <w:color w:val="007CA8"/>
          <w:sz w:val="24"/>
          <w:szCs w:val="24"/>
        </w:rPr>
        <w:t>Inhalt:</w:t>
      </w:r>
    </w:p>
    <w:p w14:paraId="22F2579A" w14:textId="6713D968" w:rsidR="00946F61" w:rsidRPr="00946F61" w:rsidRDefault="0087427E">
      <w:pPr>
        <w:pStyle w:val="Verzeichnis1"/>
        <w:tabs>
          <w:tab w:val="left" w:pos="440"/>
          <w:tab w:val="right" w:leader="dot" w:pos="9204"/>
        </w:tabs>
        <w:rPr>
          <w:rFonts w:ascii="Arial" w:eastAsiaTheme="minorEastAsia" w:hAnsi="Arial" w:cs="Arial"/>
          <w:b w:val="0"/>
          <w:caps w:val="0"/>
          <w:noProof/>
          <w:sz w:val="22"/>
          <w:szCs w:val="22"/>
        </w:rPr>
      </w:pPr>
      <w:r w:rsidRPr="00946F61">
        <w:rPr>
          <w:rFonts w:ascii="Arial" w:hAnsi="Arial" w:cs="Arial"/>
          <w:b w:val="0"/>
        </w:rPr>
        <w:fldChar w:fldCharType="begin"/>
      </w:r>
      <w:r w:rsidRPr="00946F61">
        <w:rPr>
          <w:rFonts w:ascii="Arial" w:hAnsi="Arial" w:cs="Arial"/>
          <w:b w:val="0"/>
        </w:rPr>
        <w:instrText xml:space="preserve"> TOC \o "1-1" \h \z \u </w:instrText>
      </w:r>
      <w:r w:rsidRPr="00946F61">
        <w:rPr>
          <w:rFonts w:ascii="Arial" w:hAnsi="Arial" w:cs="Arial"/>
          <w:b w:val="0"/>
        </w:rPr>
        <w:fldChar w:fldCharType="separate"/>
      </w:r>
      <w:hyperlink w:anchor="_Toc74736882" w:history="1">
        <w:r w:rsidR="00946F61" w:rsidRPr="00946F61">
          <w:rPr>
            <w:rStyle w:val="Hyperlink"/>
            <w:rFonts w:ascii="Arial" w:hAnsi="Arial" w:cs="Arial"/>
            <w:b w:val="0"/>
            <w:noProof/>
            <w:kern w:val="16"/>
            <w:lang w:eastAsia="en-GB"/>
          </w:rPr>
          <w:t>1</w:t>
        </w:r>
        <w:r w:rsidR="00946F61" w:rsidRPr="00946F61">
          <w:rPr>
            <w:rFonts w:ascii="Arial" w:eastAsiaTheme="minorEastAsia" w:hAnsi="Arial" w:cs="Arial"/>
            <w:b w:val="0"/>
            <w:caps w:val="0"/>
            <w:noProof/>
            <w:sz w:val="22"/>
            <w:szCs w:val="22"/>
          </w:rPr>
          <w:tab/>
        </w:r>
        <w:r w:rsidR="00946F61" w:rsidRPr="00946F61">
          <w:rPr>
            <w:rStyle w:val="Hyperlink"/>
            <w:rFonts w:ascii="Arial" w:hAnsi="Arial" w:cs="Arial"/>
            <w:b w:val="0"/>
            <w:noProof/>
            <w:kern w:val="16"/>
            <w:lang w:eastAsia="en-GB"/>
          </w:rPr>
          <w:t>HIGHLIGHTS AUS DEM WARTUNGSERLASS 2021 DER EINKOMMENSTEUERRICHTLINIEN</w:t>
        </w:r>
        <w:r w:rsidR="00946F61" w:rsidRPr="00946F61">
          <w:rPr>
            <w:rFonts w:ascii="Arial" w:hAnsi="Arial" w:cs="Arial"/>
            <w:b w:val="0"/>
            <w:noProof/>
            <w:webHidden/>
          </w:rPr>
          <w:tab/>
        </w:r>
        <w:r w:rsidR="00946F61" w:rsidRPr="00946F61">
          <w:rPr>
            <w:rFonts w:ascii="Arial" w:hAnsi="Arial" w:cs="Arial"/>
            <w:b w:val="0"/>
            <w:noProof/>
            <w:webHidden/>
          </w:rPr>
          <w:fldChar w:fldCharType="begin"/>
        </w:r>
        <w:r w:rsidR="00946F61" w:rsidRPr="00946F61">
          <w:rPr>
            <w:rFonts w:ascii="Arial" w:hAnsi="Arial" w:cs="Arial"/>
            <w:b w:val="0"/>
            <w:noProof/>
            <w:webHidden/>
          </w:rPr>
          <w:instrText xml:space="preserve"> PAGEREF _Toc74736882 \h </w:instrText>
        </w:r>
        <w:r w:rsidR="00946F61" w:rsidRPr="00946F61">
          <w:rPr>
            <w:rFonts w:ascii="Arial" w:hAnsi="Arial" w:cs="Arial"/>
            <w:b w:val="0"/>
            <w:noProof/>
            <w:webHidden/>
          </w:rPr>
        </w:r>
        <w:r w:rsidR="00946F61" w:rsidRPr="00946F61">
          <w:rPr>
            <w:rFonts w:ascii="Arial" w:hAnsi="Arial" w:cs="Arial"/>
            <w:b w:val="0"/>
            <w:noProof/>
            <w:webHidden/>
          </w:rPr>
          <w:fldChar w:fldCharType="separate"/>
        </w:r>
        <w:r w:rsidR="005E350D">
          <w:rPr>
            <w:rFonts w:ascii="Arial" w:hAnsi="Arial" w:cs="Arial"/>
            <w:b w:val="0"/>
            <w:noProof/>
            <w:webHidden/>
          </w:rPr>
          <w:t>2</w:t>
        </w:r>
        <w:r w:rsidR="00946F61" w:rsidRPr="00946F61">
          <w:rPr>
            <w:rFonts w:ascii="Arial" w:hAnsi="Arial" w:cs="Arial"/>
            <w:b w:val="0"/>
            <w:noProof/>
            <w:webHidden/>
          </w:rPr>
          <w:fldChar w:fldCharType="end"/>
        </w:r>
      </w:hyperlink>
    </w:p>
    <w:p w14:paraId="46176771" w14:textId="2F1B5B9E" w:rsidR="00946F61" w:rsidRPr="00946F61" w:rsidRDefault="006978C9">
      <w:pPr>
        <w:pStyle w:val="Verzeichnis1"/>
        <w:tabs>
          <w:tab w:val="left" w:pos="440"/>
          <w:tab w:val="right" w:leader="dot" w:pos="9204"/>
        </w:tabs>
        <w:rPr>
          <w:rFonts w:ascii="Arial" w:eastAsiaTheme="minorEastAsia" w:hAnsi="Arial" w:cs="Arial"/>
          <w:b w:val="0"/>
          <w:caps w:val="0"/>
          <w:noProof/>
          <w:sz w:val="22"/>
          <w:szCs w:val="22"/>
        </w:rPr>
      </w:pPr>
      <w:hyperlink w:anchor="_Toc74736883" w:history="1">
        <w:r w:rsidR="00946F61" w:rsidRPr="00946F61">
          <w:rPr>
            <w:rStyle w:val="Hyperlink"/>
            <w:rFonts w:ascii="Arial" w:hAnsi="Arial" w:cs="Arial"/>
            <w:b w:val="0"/>
            <w:noProof/>
          </w:rPr>
          <w:t>2</w:t>
        </w:r>
        <w:r w:rsidR="00946F61" w:rsidRPr="00946F61">
          <w:rPr>
            <w:rFonts w:ascii="Arial" w:eastAsiaTheme="minorEastAsia" w:hAnsi="Arial" w:cs="Arial"/>
            <w:b w:val="0"/>
            <w:caps w:val="0"/>
            <w:noProof/>
            <w:sz w:val="22"/>
            <w:szCs w:val="22"/>
          </w:rPr>
          <w:tab/>
        </w:r>
        <w:r w:rsidR="00946F61" w:rsidRPr="00946F61">
          <w:rPr>
            <w:rStyle w:val="Hyperlink"/>
            <w:rFonts w:ascii="Arial" w:hAnsi="Arial" w:cs="Arial"/>
            <w:b w:val="0"/>
            <w:noProof/>
          </w:rPr>
          <w:t>Bilanzierung COVID-19 Hilfsmassnahmen</w:t>
        </w:r>
        <w:r w:rsidR="00946F61" w:rsidRPr="00946F61">
          <w:rPr>
            <w:rFonts w:ascii="Arial" w:hAnsi="Arial" w:cs="Arial"/>
            <w:b w:val="0"/>
            <w:noProof/>
            <w:webHidden/>
          </w:rPr>
          <w:tab/>
        </w:r>
        <w:r w:rsidR="00946F61" w:rsidRPr="00946F61">
          <w:rPr>
            <w:rFonts w:ascii="Arial" w:hAnsi="Arial" w:cs="Arial"/>
            <w:b w:val="0"/>
            <w:noProof/>
            <w:webHidden/>
          </w:rPr>
          <w:fldChar w:fldCharType="begin"/>
        </w:r>
        <w:r w:rsidR="00946F61" w:rsidRPr="00946F61">
          <w:rPr>
            <w:rFonts w:ascii="Arial" w:hAnsi="Arial" w:cs="Arial"/>
            <w:b w:val="0"/>
            <w:noProof/>
            <w:webHidden/>
          </w:rPr>
          <w:instrText xml:space="preserve"> PAGEREF _Toc74736883 \h </w:instrText>
        </w:r>
        <w:r w:rsidR="00946F61" w:rsidRPr="00946F61">
          <w:rPr>
            <w:rFonts w:ascii="Arial" w:hAnsi="Arial" w:cs="Arial"/>
            <w:b w:val="0"/>
            <w:noProof/>
            <w:webHidden/>
          </w:rPr>
        </w:r>
        <w:r w:rsidR="00946F61" w:rsidRPr="00946F61">
          <w:rPr>
            <w:rFonts w:ascii="Arial" w:hAnsi="Arial" w:cs="Arial"/>
            <w:b w:val="0"/>
            <w:noProof/>
            <w:webHidden/>
          </w:rPr>
          <w:fldChar w:fldCharType="separate"/>
        </w:r>
        <w:r w:rsidR="005E350D">
          <w:rPr>
            <w:rFonts w:ascii="Arial" w:hAnsi="Arial" w:cs="Arial"/>
            <w:b w:val="0"/>
            <w:noProof/>
            <w:webHidden/>
          </w:rPr>
          <w:t>4</w:t>
        </w:r>
        <w:r w:rsidR="00946F61" w:rsidRPr="00946F61">
          <w:rPr>
            <w:rFonts w:ascii="Arial" w:hAnsi="Arial" w:cs="Arial"/>
            <w:b w:val="0"/>
            <w:noProof/>
            <w:webHidden/>
          </w:rPr>
          <w:fldChar w:fldCharType="end"/>
        </w:r>
      </w:hyperlink>
    </w:p>
    <w:p w14:paraId="0AE8323F" w14:textId="74FD8BA0" w:rsidR="00946F61" w:rsidRPr="00946F61" w:rsidRDefault="006978C9">
      <w:pPr>
        <w:pStyle w:val="Verzeichnis1"/>
        <w:tabs>
          <w:tab w:val="left" w:pos="440"/>
          <w:tab w:val="right" w:leader="dot" w:pos="9204"/>
        </w:tabs>
        <w:rPr>
          <w:rFonts w:ascii="Arial" w:eastAsiaTheme="minorEastAsia" w:hAnsi="Arial" w:cs="Arial"/>
          <w:b w:val="0"/>
          <w:caps w:val="0"/>
          <w:noProof/>
          <w:sz w:val="22"/>
          <w:szCs w:val="22"/>
        </w:rPr>
      </w:pPr>
      <w:hyperlink w:anchor="_Toc74736884" w:history="1">
        <w:r w:rsidR="00946F61" w:rsidRPr="00946F61">
          <w:rPr>
            <w:rStyle w:val="Hyperlink"/>
            <w:rFonts w:ascii="Arial" w:hAnsi="Arial" w:cs="Arial"/>
            <w:b w:val="0"/>
            <w:noProof/>
          </w:rPr>
          <w:t>3</w:t>
        </w:r>
        <w:r w:rsidR="00946F61" w:rsidRPr="00946F61">
          <w:rPr>
            <w:rFonts w:ascii="Arial" w:eastAsiaTheme="minorEastAsia" w:hAnsi="Arial" w:cs="Arial"/>
            <w:b w:val="0"/>
            <w:caps w:val="0"/>
            <w:noProof/>
            <w:sz w:val="22"/>
            <w:szCs w:val="22"/>
          </w:rPr>
          <w:tab/>
        </w:r>
        <w:r w:rsidR="00946F61" w:rsidRPr="00946F61">
          <w:rPr>
            <w:rStyle w:val="Hyperlink"/>
            <w:rFonts w:ascii="Arial" w:hAnsi="Arial" w:cs="Arial"/>
            <w:b w:val="0"/>
            <w:noProof/>
          </w:rPr>
          <w:t>Aktuelles aus ARBEITSRECHT UND Sozialversicherung</w:t>
        </w:r>
        <w:r w:rsidR="00946F61" w:rsidRPr="00946F61">
          <w:rPr>
            <w:rFonts w:ascii="Arial" w:hAnsi="Arial" w:cs="Arial"/>
            <w:b w:val="0"/>
            <w:noProof/>
            <w:webHidden/>
          </w:rPr>
          <w:tab/>
        </w:r>
        <w:r w:rsidR="00946F61" w:rsidRPr="00946F61">
          <w:rPr>
            <w:rFonts w:ascii="Arial" w:hAnsi="Arial" w:cs="Arial"/>
            <w:b w:val="0"/>
            <w:noProof/>
            <w:webHidden/>
          </w:rPr>
          <w:fldChar w:fldCharType="begin"/>
        </w:r>
        <w:r w:rsidR="00946F61" w:rsidRPr="00946F61">
          <w:rPr>
            <w:rFonts w:ascii="Arial" w:hAnsi="Arial" w:cs="Arial"/>
            <w:b w:val="0"/>
            <w:noProof/>
            <w:webHidden/>
          </w:rPr>
          <w:instrText xml:space="preserve"> PAGEREF _Toc74736884 \h </w:instrText>
        </w:r>
        <w:r w:rsidR="00946F61" w:rsidRPr="00946F61">
          <w:rPr>
            <w:rFonts w:ascii="Arial" w:hAnsi="Arial" w:cs="Arial"/>
            <w:b w:val="0"/>
            <w:noProof/>
            <w:webHidden/>
          </w:rPr>
        </w:r>
        <w:r w:rsidR="00946F61" w:rsidRPr="00946F61">
          <w:rPr>
            <w:rFonts w:ascii="Arial" w:hAnsi="Arial" w:cs="Arial"/>
            <w:b w:val="0"/>
            <w:noProof/>
            <w:webHidden/>
          </w:rPr>
          <w:fldChar w:fldCharType="separate"/>
        </w:r>
        <w:r w:rsidR="005E350D">
          <w:rPr>
            <w:rFonts w:ascii="Arial" w:hAnsi="Arial" w:cs="Arial"/>
            <w:b w:val="0"/>
            <w:noProof/>
            <w:webHidden/>
          </w:rPr>
          <w:t>6</w:t>
        </w:r>
        <w:r w:rsidR="00946F61" w:rsidRPr="00946F61">
          <w:rPr>
            <w:rFonts w:ascii="Arial" w:hAnsi="Arial" w:cs="Arial"/>
            <w:b w:val="0"/>
            <w:noProof/>
            <w:webHidden/>
          </w:rPr>
          <w:fldChar w:fldCharType="end"/>
        </w:r>
      </w:hyperlink>
    </w:p>
    <w:p w14:paraId="08DC4659" w14:textId="32EB2D8F" w:rsidR="00946F61" w:rsidRPr="00946F61" w:rsidRDefault="006978C9">
      <w:pPr>
        <w:pStyle w:val="Verzeichnis1"/>
        <w:tabs>
          <w:tab w:val="left" w:pos="440"/>
          <w:tab w:val="right" w:leader="dot" w:pos="9204"/>
        </w:tabs>
        <w:rPr>
          <w:rFonts w:ascii="Arial" w:eastAsiaTheme="minorEastAsia" w:hAnsi="Arial" w:cs="Arial"/>
          <w:b w:val="0"/>
          <w:caps w:val="0"/>
          <w:noProof/>
          <w:sz w:val="22"/>
          <w:szCs w:val="22"/>
        </w:rPr>
      </w:pPr>
      <w:hyperlink w:anchor="_Toc74736885" w:history="1">
        <w:r w:rsidR="00946F61" w:rsidRPr="00946F61">
          <w:rPr>
            <w:rStyle w:val="Hyperlink"/>
            <w:rFonts w:ascii="Arial" w:hAnsi="Arial" w:cs="Arial"/>
            <w:b w:val="0"/>
            <w:noProof/>
          </w:rPr>
          <w:t>4</w:t>
        </w:r>
        <w:r w:rsidR="00946F61" w:rsidRPr="00946F61">
          <w:rPr>
            <w:rFonts w:ascii="Arial" w:eastAsiaTheme="minorEastAsia" w:hAnsi="Arial" w:cs="Arial"/>
            <w:b w:val="0"/>
            <w:caps w:val="0"/>
            <w:noProof/>
            <w:sz w:val="22"/>
            <w:szCs w:val="22"/>
          </w:rPr>
          <w:tab/>
        </w:r>
        <w:r w:rsidR="00946F61" w:rsidRPr="00946F61">
          <w:rPr>
            <w:rStyle w:val="Hyperlink"/>
            <w:rFonts w:ascii="Arial" w:hAnsi="Arial" w:cs="Arial"/>
            <w:b w:val="0"/>
            <w:noProof/>
          </w:rPr>
          <w:t>Aktuelle Judikatur</w:t>
        </w:r>
        <w:r w:rsidR="00946F61" w:rsidRPr="00946F61">
          <w:rPr>
            <w:rFonts w:ascii="Arial" w:hAnsi="Arial" w:cs="Arial"/>
            <w:b w:val="0"/>
            <w:noProof/>
            <w:webHidden/>
          </w:rPr>
          <w:tab/>
        </w:r>
        <w:r w:rsidR="00946F61" w:rsidRPr="00946F61">
          <w:rPr>
            <w:rFonts w:ascii="Arial" w:hAnsi="Arial" w:cs="Arial"/>
            <w:b w:val="0"/>
            <w:noProof/>
            <w:webHidden/>
          </w:rPr>
          <w:fldChar w:fldCharType="begin"/>
        </w:r>
        <w:r w:rsidR="00946F61" w:rsidRPr="00946F61">
          <w:rPr>
            <w:rFonts w:ascii="Arial" w:hAnsi="Arial" w:cs="Arial"/>
            <w:b w:val="0"/>
            <w:noProof/>
            <w:webHidden/>
          </w:rPr>
          <w:instrText xml:space="preserve"> PAGEREF _Toc74736885 \h </w:instrText>
        </w:r>
        <w:r w:rsidR="00946F61" w:rsidRPr="00946F61">
          <w:rPr>
            <w:rFonts w:ascii="Arial" w:hAnsi="Arial" w:cs="Arial"/>
            <w:b w:val="0"/>
            <w:noProof/>
            <w:webHidden/>
          </w:rPr>
        </w:r>
        <w:r w:rsidR="00946F61" w:rsidRPr="00946F61">
          <w:rPr>
            <w:rFonts w:ascii="Arial" w:hAnsi="Arial" w:cs="Arial"/>
            <w:b w:val="0"/>
            <w:noProof/>
            <w:webHidden/>
          </w:rPr>
          <w:fldChar w:fldCharType="separate"/>
        </w:r>
        <w:r w:rsidR="005E350D">
          <w:rPr>
            <w:rFonts w:ascii="Arial" w:hAnsi="Arial" w:cs="Arial"/>
            <w:b w:val="0"/>
            <w:noProof/>
            <w:webHidden/>
          </w:rPr>
          <w:t>8</w:t>
        </w:r>
        <w:r w:rsidR="00946F61" w:rsidRPr="00946F61">
          <w:rPr>
            <w:rFonts w:ascii="Arial" w:hAnsi="Arial" w:cs="Arial"/>
            <w:b w:val="0"/>
            <w:noProof/>
            <w:webHidden/>
          </w:rPr>
          <w:fldChar w:fldCharType="end"/>
        </w:r>
      </w:hyperlink>
    </w:p>
    <w:p w14:paraId="0583854C" w14:textId="39562A95" w:rsidR="00946F61" w:rsidRPr="00946F61" w:rsidRDefault="006978C9">
      <w:pPr>
        <w:pStyle w:val="Verzeichnis1"/>
        <w:tabs>
          <w:tab w:val="left" w:pos="440"/>
          <w:tab w:val="right" w:leader="dot" w:pos="9204"/>
        </w:tabs>
        <w:rPr>
          <w:rFonts w:ascii="Arial" w:eastAsiaTheme="minorEastAsia" w:hAnsi="Arial" w:cs="Arial"/>
          <w:b w:val="0"/>
          <w:caps w:val="0"/>
          <w:noProof/>
          <w:sz w:val="22"/>
          <w:szCs w:val="22"/>
        </w:rPr>
      </w:pPr>
      <w:hyperlink w:anchor="_Toc74736886" w:history="1">
        <w:r w:rsidR="00946F61" w:rsidRPr="00946F61">
          <w:rPr>
            <w:rStyle w:val="Hyperlink"/>
            <w:rFonts w:ascii="Arial" w:hAnsi="Arial" w:cs="Arial"/>
            <w:b w:val="0"/>
            <w:noProof/>
          </w:rPr>
          <w:t>5</w:t>
        </w:r>
        <w:r w:rsidR="00946F61" w:rsidRPr="00946F61">
          <w:rPr>
            <w:rFonts w:ascii="Arial" w:eastAsiaTheme="minorEastAsia" w:hAnsi="Arial" w:cs="Arial"/>
            <w:b w:val="0"/>
            <w:caps w:val="0"/>
            <w:noProof/>
            <w:sz w:val="22"/>
            <w:szCs w:val="22"/>
          </w:rPr>
          <w:tab/>
        </w:r>
        <w:r w:rsidR="00946F61" w:rsidRPr="00946F61">
          <w:rPr>
            <w:rStyle w:val="Hyperlink"/>
            <w:rFonts w:ascii="Arial" w:hAnsi="Arial" w:cs="Arial"/>
            <w:b w:val="0"/>
            <w:noProof/>
          </w:rPr>
          <w:t>Termine Juni bis september 2021</w:t>
        </w:r>
        <w:r w:rsidR="00946F61" w:rsidRPr="00946F61">
          <w:rPr>
            <w:rFonts w:ascii="Arial" w:hAnsi="Arial" w:cs="Arial"/>
            <w:b w:val="0"/>
            <w:noProof/>
            <w:webHidden/>
          </w:rPr>
          <w:tab/>
        </w:r>
        <w:r w:rsidR="00946F61" w:rsidRPr="00946F61">
          <w:rPr>
            <w:rFonts w:ascii="Arial" w:hAnsi="Arial" w:cs="Arial"/>
            <w:b w:val="0"/>
            <w:noProof/>
            <w:webHidden/>
          </w:rPr>
          <w:fldChar w:fldCharType="begin"/>
        </w:r>
        <w:r w:rsidR="00946F61" w:rsidRPr="00946F61">
          <w:rPr>
            <w:rFonts w:ascii="Arial" w:hAnsi="Arial" w:cs="Arial"/>
            <w:b w:val="0"/>
            <w:noProof/>
            <w:webHidden/>
          </w:rPr>
          <w:instrText xml:space="preserve"> PAGEREF _Toc74736886 \h </w:instrText>
        </w:r>
        <w:r w:rsidR="00946F61" w:rsidRPr="00946F61">
          <w:rPr>
            <w:rFonts w:ascii="Arial" w:hAnsi="Arial" w:cs="Arial"/>
            <w:b w:val="0"/>
            <w:noProof/>
            <w:webHidden/>
          </w:rPr>
        </w:r>
        <w:r w:rsidR="00946F61" w:rsidRPr="00946F61">
          <w:rPr>
            <w:rFonts w:ascii="Arial" w:hAnsi="Arial" w:cs="Arial"/>
            <w:b w:val="0"/>
            <w:noProof/>
            <w:webHidden/>
          </w:rPr>
          <w:fldChar w:fldCharType="separate"/>
        </w:r>
        <w:r w:rsidR="005E350D">
          <w:rPr>
            <w:rFonts w:ascii="Arial" w:hAnsi="Arial" w:cs="Arial"/>
            <w:b w:val="0"/>
            <w:noProof/>
            <w:webHidden/>
          </w:rPr>
          <w:t>9</w:t>
        </w:r>
        <w:r w:rsidR="00946F61" w:rsidRPr="00946F61">
          <w:rPr>
            <w:rFonts w:ascii="Arial" w:hAnsi="Arial" w:cs="Arial"/>
            <w:b w:val="0"/>
            <w:noProof/>
            <w:webHidden/>
          </w:rPr>
          <w:fldChar w:fldCharType="end"/>
        </w:r>
      </w:hyperlink>
    </w:p>
    <w:p w14:paraId="07E659CD" w14:textId="219D7A98" w:rsidR="006827F6" w:rsidRDefault="0087427E" w:rsidP="00106EDD">
      <w:pPr>
        <w:jc w:val="both"/>
        <w:rPr>
          <w:rFonts w:cs="Arial"/>
          <w:lang w:val="de-DE"/>
        </w:rPr>
      </w:pPr>
      <w:r w:rsidRPr="00946F61">
        <w:rPr>
          <w:rFonts w:cs="Arial"/>
          <w:lang w:val="de-DE"/>
        </w:rPr>
        <w:fldChar w:fldCharType="end"/>
      </w:r>
    </w:p>
    <w:p w14:paraId="230875F7" w14:textId="77777777" w:rsidR="00AD00AD" w:rsidRPr="00CA250E" w:rsidRDefault="00AD00AD" w:rsidP="00106EDD">
      <w:pPr>
        <w:jc w:val="both"/>
        <w:rPr>
          <w:rFonts w:cs="Arial"/>
          <w:lang w:val="de-DE"/>
        </w:rPr>
      </w:pPr>
    </w:p>
    <w:p w14:paraId="0DC08B14" w14:textId="128747B2" w:rsidR="00015E82" w:rsidRPr="00D36957" w:rsidRDefault="00D36957" w:rsidP="00D36957">
      <w:pPr>
        <w:pStyle w:val="berschrift1"/>
        <w:spacing w:line="276" w:lineRule="auto"/>
        <w:ind w:left="426" w:hanging="426"/>
        <w:rPr>
          <w:rFonts w:cs="Arial"/>
          <w:bCs/>
          <w:color w:val="000000" w:themeColor="text1"/>
          <w:kern w:val="16"/>
          <w:lang w:eastAsia="en-GB"/>
        </w:rPr>
      </w:pPr>
      <w:bookmarkStart w:id="1" w:name="_Toc74736882"/>
      <w:bookmarkStart w:id="2" w:name="_Toc57539059"/>
      <w:bookmarkStart w:id="3" w:name="_Toc49706704"/>
      <w:r w:rsidRPr="00015E82">
        <w:rPr>
          <w:rFonts w:cs="Arial"/>
          <w:bCs/>
          <w:color w:val="000000" w:themeColor="text1"/>
          <w:kern w:val="16"/>
          <w:lang w:eastAsia="en-GB"/>
        </w:rPr>
        <w:lastRenderedPageBreak/>
        <w:t xml:space="preserve">HIGHLIGHTS AUS DEM WARTUNGSERLASS 2021 </w:t>
      </w:r>
      <w:r w:rsidR="00BE79F7">
        <w:rPr>
          <w:rFonts w:cs="Arial"/>
          <w:bCs/>
          <w:color w:val="000000" w:themeColor="text1"/>
          <w:kern w:val="16"/>
          <w:lang w:eastAsia="en-GB"/>
        </w:rPr>
        <w:t xml:space="preserve">DER </w:t>
      </w:r>
      <w:r w:rsidRPr="00015E82">
        <w:rPr>
          <w:rFonts w:cs="Arial"/>
          <w:bCs/>
          <w:color w:val="000000" w:themeColor="text1"/>
          <w:kern w:val="16"/>
          <w:lang w:eastAsia="en-GB"/>
        </w:rPr>
        <w:t>EINKOMMENSTEUERRICHTLINIEN</w:t>
      </w:r>
      <w:bookmarkStart w:id="4" w:name="_Toc69131126"/>
      <w:bookmarkEnd w:id="1"/>
    </w:p>
    <w:p w14:paraId="2EA4400E" w14:textId="7841C4D8" w:rsidR="00015E82" w:rsidRPr="00015E82" w:rsidRDefault="00015E82" w:rsidP="00015E82">
      <w:pPr>
        <w:spacing w:line="276" w:lineRule="auto"/>
        <w:jc w:val="both"/>
        <w:rPr>
          <w:rFonts w:cs="Arial"/>
          <w:color w:val="333333"/>
          <w:lang w:val="de-DE"/>
        </w:rPr>
      </w:pPr>
      <w:r w:rsidRPr="00015E82">
        <w:rPr>
          <w:rFonts w:cs="Arial"/>
          <w:color w:val="333333"/>
          <w:lang w:val="de-DE"/>
        </w:rPr>
        <w:t>Im Mai wurde der ES</w:t>
      </w:r>
      <w:r>
        <w:rPr>
          <w:rFonts w:cs="Arial"/>
          <w:color w:val="333333"/>
          <w:lang w:val="de-DE"/>
        </w:rPr>
        <w:t>t</w:t>
      </w:r>
      <w:r w:rsidRPr="00015E82">
        <w:rPr>
          <w:rFonts w:cs="Arial"/>
          <w:color w:val="333333"/>
          <w:lang w:val="de-DE"/>
        </w:rPr>
        <w:t>R-Wartungserlass 2021 veröffentlicht. Auf über 300 Seiten werden die zahlreichen gesetzliche</w:t>
      </w:r>
      <w:r w:rsidR="009922DB">
        <w:rPr>
          <w:rFonts w:cs="Arial"/>
          <w:color w:val="333333"/>
          <w:lang w:val="de-DE"/>
        </w:rPr>
        <w:t>n</w:t>
      </w:r>
      <w:r w:rsidRPr="00015E82">
        <w:rPr>
          <w:rFonts w:cs="Arial"/>
          <w:color w:val="333333"/>
          <w:lang w:val="de-DE"/>
        </w:rPr>
        <w:t xml:space="preserve"> Neuerungen, insbesondere in Zusammenhang mit der COVID-Steuergesetzgebung behandelt. Aber auch zu Themen wie die Klein</w:t>
      </w:r>
      <w:r w:rsidRPr="00015E82">
        <w:rPr>
          <w:rFonts w:cs="Arial"/>
          <w:color w:val="333333"/>
          <w:lang w:val="de-DE"/>
        </w:rPr>
        <w:softHyphen/>
        <w:t>unternehmerpauschalierung und die steuerbilanziellen Neuerungen des Jahres 2020 (degressive sowie beschleunigte AfA, pauschale Rückstellungen und Wertberichtigungen) wird die Ansicht der Finanzverwaltung dargestellt. Weiters wurde die höchst</w:t>
      </w:r>
      <w:r w:rsidRPr="00015E82">
        <w:rPr>
          <w:rFonts w:cs="Arial"/>
          <w:color w:val="333333"/>
          <w:lang w:val="de-DE"/>
        </w:rPr>
        <w:softHyphen/>
        <w:t>gerichtliche Rechtsprechung eingearbeitet. In diesem Beitrag sollen einige wichtige Themen für die Praxis dargestellt werden.</w:t>
      </w:r>
    </w:p>
    <w:p w14:paraId="6E3A1EFE" w14:textId="44433B15" w:rsidR="00015E82" w:rsidRDefault="00015E82" w:rsidP="00015E82">
      <w:pPr>
        <w:spacing w:line="276" w:lineRule="auto"/>
        <w:jc w:val="both"/>
        <w:rPr>
          <w:rFonts w:cs="Arial"/>
          <w:color w:val="333333"/>
          <w:lang w:val="de-DE"/>
        </w:rPr>
      </w:pPr>
    </w:p>
    <w:p w14:paraId="623E77AF" w14:textId="77777777" w:rsidR="002600C4" w:rsidRPr="00015E82" w:rsidRDefault="002600C4" w:rsidP="00015E82">
      <w:pPr>
        <w:spacing w:line="276" w:lineRule="auto"/>
        <w:jc w:val="both"/>
        <w:rPr>
          <w:rFonts w:cs="Arial"/>
          <w:color w:val="333333"/>
          <w:lang w:val="de-DE"/>
        </w:rPr>
      </w:pPr>
    </w:p>
    <w:p w14:paraId="46C3E22C" w14:textId="77777777" w:rsidR="00015E82" w:rsidRPr="00015E82" w:rsidRDefault="00015E82" w:rsidP="00015E82">
      <w:pPr>
        <w:spacing w:line="276" w:lineRule="auto"/>
        <w:jc w:val="both"/>
        <w:rPr>
          <w:rFonts w:cs="Arial"/>
          <w:b/>
          <w:bCs/>
          <w:color w:val="333333"/>
          <w:lang w:val="de-DE"/>
        </w:rPr>
      </w:pPr>
      <w:r w:rsidRPr="00015E82">
        <w:rPr>
          <w:rFonts w:cs="Arial"/>
          <w:b/>
          <w:bCs/>
          <w:color w:val="333333"/>
          <w:lang w:val="de-DE"/>
        </w:rPr>
        <w:t>Rz 313h: Übersicht über die wichtigsten Zuwendungen bzw. Zuschüsse iZm der COVID-Pandemie</w:t>
      </w:r>
    </w:p>
    <w:p w14:paraId="63C87B0A" w14:textId="1F8631FB" w:rsidR="00015E82" w:rsidRDefault="00015E82" w:rsidP="00015E82">
      <w:pPr>
        <w:spacing w:line="276" w:lineRule="auto"/>
        <w:jc w:val="both"/>
        <w:rPr>
          <w:rFonts w:cs="Arial"/>
          <w:color w:val="333333"/>
          <w:lang w:val="de-DE"/>
        </w:rPr>
      </w:pPr>
      <w:r w:rsidRPr="00015E82">
        <w:rPr>
          <w:rFonts w:cs="Arial"/>
          <w:color w:val="333333"/>
          <w:lang w:val="de-DE"/>
        </w:rPr>
        <w:t>Bei den vielen unterschiedlichen Förderungen und deren steuerlicher Behandlung kann man leicht den Überblick verlieren. Die in der R</w:t>
      </w:r>
      <w:r w:rsidR="00835C0A">
        <w:rPr>
          <w:rFonts w:cs="Arial"/>
          <w:color w:val="333333"/>
          <w:lang w:val="de-DE"/>
        </w:rPr>
        <w:t>z</w:t>
      </w:r>
      <w:r w:rsidRPr="00015E82">
        <w:rPr>
          <w:rFonts w:cs="Arial"/>
          <w:color w:val="333333"/>
          <w:lang w:val="de-DE"/>
        </w:rPr>
        <w:t xml:space="preserve"> </w:t>
      </w:r>
      <w:r w:rsidR="009922DB">
        <w:rPr>
          <w:rFonts w:cs="Arial"/>
          <w:color w:val="333333"/>
          <w:lang w:val="de-DE"/>
        </w:rPr>
        <w:t>313h</w:t>
      </w:r>
      <w:r w:rsidRPr="00015E82">
        <w:rPr>
          <w:rFonts w:cs="Arial"/>
          <w:color w:val="333333"/>
          <w:lang w:val="de-DE"/>
        </w:rPr>
        <w:t xml:space="preserve"> enthaltenen Tabelle bietet einen guten Überblick:</w:t>
      </w:r>
    </w:p>
    <w:p w14:paraId="6AEE1C02" w14:textId="77777777" w:rsidR="000966B2" w:rsidRPr="00015E82" w:rsidRDefault="000966B2" w:rsidP="00015E82">
      <w:pPr>
        <w:spacing w:line="276" w:lineRule="auto"/>
        <w:jc w:val="both"/>
        <w:rPr>
          <w:rFonts w:cs="Arial"/>
          <w:color w:val="333333"/>
          <w:lang w:val="de-DE"/>
        </w:rPr>
      </w:pPr>
    </w:p>
    <w:tbl>
      <w:tblPr>
        <w:tblStyle w:val="Tabellenraster"/>
        <w:tblW w:w="0" w:type="auto"/>
        <w:tblLook w:val="04A0" w:firstRow="1" w:lastRow="0" w:firstColumn="1" w:lastColumn="0" w:noHBand="0" w:noVBand="1"/>
      </w:tblPr>
      <w:tblGrid>
        <w:gridCol w:w="4745"/>
        <w:gridCol w:w="1892"/>
        <w:gridCol w:w="1135"/>
        <w:gridCol w:w="1432"/>
      </w:tblGrid>
      <w:tr w:rsidR="00015E82" w:rsidRPr="00015E82" w14:paraId="47A3D04D" w14:textId="77777777" w:rsidTr="00383AF8">
        <w:tc>
          <w:tcPr>
            <w:tcW w:w="5015" w:type="dxa"/>
          </w:tcPr>
          <w:p w14:paraId="1D250C4C" w14:textId="77777777" w:rsidR="00015E82" w:rsidRPr="00015E82" w:rsidRDefault="00015E82" w:rsidP="00015E82">
            <w:pPr>
              <w:spacing w:line="276" w:lineRule="auto"/>
              <w:jc w:val="both"/>
              <w:rPr>
                <w:rFonts w:cs="Arial"/>
                <w:b/>
                <w:bCs/>
                <w:color w:val="333333"/>
                <w:lang w:val="de-DE"/>
              </w:rPr>
            </w:pPr>
            <w:r w:rsidRPr="00015E82">
              <w:rPr>
                <w:rFonts w:cs="Arial"/>
                <w:b/>
                <w:bCs/>
                <w:color w:val="333333"/>
                <w:lang w:val="de-DE"/>
              </w:rPr>
              <w:t>Zuwendung</w:t>
            </w:r>
          </w:p>
        </w:tc>
        <w:tc>
          <w:tcPr>
            <w:tcW w:w="1963" w:type="dxa"/>
          </w:tcPr>
          <w:p w14:paraId="31557509" w14:textId="77777777" w:rsidR="00015E82" w:rsidRPr="00015E82" w:rsidRDefault="00015E82" w:rsidP="00C5326D">
            <w:pPr>
              <w:spacing w:line="276" w:lineRule="auto"/>
              <w:jc w:val="center"/>
              <w:rPr>
                <w:rFonts w:cs="Arial"/>
                <w:b/>
                <w:bCs/>
                <w:color w:val="333333"/>
                <w:lang w:val="de-DE"/>
              </w:rPr>
            </w:pPr>
            <w:r w:rsidRPr="00015E82">
              <w:rPr>
                <w:rFonts w:cs="Arial"/>
                <w:b/>
                <w:bCs/>
                <w:color w:val="333333"/>
                <w:lang w:val="de-DE"/>
              </w:rPr>
              <w:t>Rechtsgrundlage /Mittelherkunft</w:t>
            </w:r>
          </w:p>
        </w:tc>
        <w:tc>
          <w:tcPr>
            <w:tcW w:w="1166" w:type="dxa"/>
          </w:tcPr>
          <w:p w14:paraId="3677A14D" w14:textId="77777777" w:rsidR="00015E82" w:rsidRPr="00015E82" w:rsidRDefault="00015E82" w:rsidP="00C5326D">
            <w:pPr>
              <w:spacing w:line="276" w:lineRule="auto"/>
              <w:jc w:val="center"/>
              <w:rPr>
                <w:rFonts w:cs="Arial"/>
                <w:b/>
                <w:bCs/>
                <w:color w:val="333333"/>
                <w:lang w:val="de-DE"/>
              </w:rPr>
            </w:pPr>
            <w:r w:rsidRPr="00015E82">
              <w:rPr>
                <w:rFonts w:cs="Arial"/>
                <w:b/>
                <w:bCs/>
                <w:color w:val="333333"/>
                <w:lang w:val="de-DE"/>
              </w:rPr>
              <w:t>Steuerfrei</w:t>
            </w:r>
          </w:p>
        </w:tc>
        <w:tc>
          <w:tcPr>
            <w:tcW w:w="1484" w:type="dxa"/>
          </w:tcPr>
          <w:p w14:paraId="2673E84E" w14:textId="77777777" w:rsidR="00015E82" w:rsidRPr="00015E82" w:rsidRDefault="00015E82" w:rsidP="00C5326D">
            <w:pPr>
              <w:spacing w:line="276" w:lineRule="auto"/>
              <w:jc w:val="center"/>
              <w:rPr>
                <w:rFonts w:cs="Arial"/>
                <w:b/>
                <w:bCs/>
                <w:color w:val="333333"/>
                <w:lang w:val="de-DE"/>
              </w:rPr>
            </w:pPr>
            <w:r w:rsidRPr="00015E82">
              <w:rPr>
                <w:rFonts w:cs="Arial"/>
                <w:b/>
                <w:bCs/>
                <w:color w:val="333333"/>
                <w:lang w:val="de-DE"/>
              </w:rPr>
              <w:t>Abzugsverbot</w:t>
            </w:r>
          </w:p>
        </w:tc>
      </w:tr>
      <w:tr w:rsidR="00015E82" w:rsidRPr="00015E82" w14:paraId="33FAEBE0" w14:textId="77777777" w:rsidTr="00383AF8">
        <w:tc>
          <w:tcPr>
            <w:tcW w:w="5015" w:type="dxa"/>
          </w:tcPr>
          <w:p w14:paraId="727AFD40"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Verdienstentgang für Selbständige nach EpiG</w:t>
            </w:r>
          </w:p>
        </w:tc>
        <w:tc>
          <w:tcPr>
            <w:tcW w:w="1963" w:type="dxa"/>
          </w:tcPr>
          <w:p w14:paraId="735273F0"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3D36A969"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750DF849"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695FF408" w14:textId="77777777" w:rsidTr="00383AF8">
        <w:tc>
          <w:tcPr>
            <w:tcW w:w="5015" w:type="dxa"/>
          </w:tcPr>
          <w:p w14:paraId="3C37C4D2"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Ersatz für Sonderbetreuungszeiten an Arbeitgeber</w:t>
            </w:r>
          </w:p>
        </w:tc>
        <w:tc>
          <w:tcPr>
            <w:tcW w:w="1963" w:type="dxa"/>
          </w:tcPr>
          <w:p w14:paraId="42867AF7"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3C2824EE"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6B1D9813"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r>
      <w:tr w:rsidR="00015E82" w:rsidRPr="00015E82" w14:paraId="3ED90EAC" w14:textId="77777777" w:rsidTr="00383AF8">
        <w:tc>
          <w:tcPr>
            <w:tcW w:w="5015" w:type="dxa"/>
          </w:tcPr>
          <w:p w14:paraId="2121BCBC" w14:textId="7BF41D2A" w:rsidR="00015E82" w:rsidRPr="00015E82" w:rsidRDefault="00015E82" w:rsidP="00015E82">
            <w:pPr>
              <w:spacing w:line="276" w:lineRule="auto"/>
              <w:jc w:val="both"/>
              <w:rPr>
                <w:rFonts w:cs="Arial"/>
                <w:color w:val="333333"/>
                <w:lang w:val="de-DE"/>
              </w:rPr>
            </w:pPr>
            <w:r w:rsidRPr="00015E82">
              <w:rPr>
                <w:rFonts w:cs="Arial"/>
                <w:color w:val="333333"/>
                <w:lang w:val="de-DE"/>
              </w:rPr>
              <w:t>Zuschüsse nach dem Künstler-Überbrückungsfonds</w:t>
            </w:r>
          </w:p>
        </w:tc>
        <w:tc>
          <w:tcPr>
            <w:tcW w:w="1963" w:type="dxa"/>
          </w:tcPr>
          <w:p w14:paraId="26524C5E"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3E488458"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7F0A07C5"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7AF8AD5E" w14:textId="77777777" w:rsidTr="00383AF8">
        <w:tc>
          <w:tcPr>
            <w:tcW w:w="5015" w:type="dxa"/>
          </w:tcPr>
          <w:p w14:paraId="2814AAF0"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Schutzschirm für die Veranstaltungsbranche</w:t>
            </w:r>
          </w:p>
        </w:tc>
        <w:tc>
          <w:tcPr>
            <w:tcW w:w="1963" w:type="dxa"/>
          </w:tcPr>
          <w:p w14:paraId="3BEE737B"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45D11BA9"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021F0468"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r>
      <w:tr w:rsidR="00015E82" w:rsidRPr="00015E82" w14:paraId="489CB978" w14:textId="77777777" w:rsidTr="00383AF8">
        <w:tc>
          <w:tcPr>
            <w:tcW w:w="5015" w:type="dxa"/>
          </w:tcPr>
          <w:p w14:paraId="311FFA12"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 xml:space="preserve">Kostenzuschüsse nach 2. NPO-FondsRLV </w:t>
            </w:r>
          </w:p>
        </w:tc>
        <w:tc>
          <w:tcPr>
            <w:tcW w:w="1963" w:type="dxa"/>
          </w:tcPr>
          <w:p w14:paraId="32C945F4"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6E8D6B11"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42516BAE"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r>
      <w:tr w:rsidR="00015E82" w:rsidRPr="00015E82" w14:paraId="1723983F" w14:textId="77777777" w:rsidTr="00383AF8">
        <w:tc>
          <w:tcPr>
            <w:tcW w:w="5015" w:type="dxa"/>
          </w:tcPr>
          <w:p w14:paraId="3F840078"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NPO-Lockdown-Zuschuss</w:t>
            </w:r>
          </w:p>
        </w:tc>
        <w:tc>
          <w:tcPr>
            <w:tcW w:w="1963" w:type="dxa"/>
          </w:tcPr>
          <w:p w14:paraId="4612C732"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5970AD91"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c>
          <w:tcPr>
            <w:tcW w:w="1484" w:type="dxa"/>
          </w:tcPr>
          <w:p w14:paraId="52BF7CCD"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739D19A5" w14:textId="77777777" w:rsidTr="00383AF8">
        <w:tc>
          <w:tcPr>
            <w:tcW w:w="5015" w:type="dxa"/>
          </w:tcPr>
          <w:p w14:paraId="4B945F36"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Förderung nach dem Betrieblichen Testungs-Gesetz</w:t>
            </w:r>
          </w:p>
        </w:tc>
        <w:tc>
          <w:tcPr>
            <w:tcW w:w="1963" w:type="dxa"/>
          </w:tcPr>
          <w:p w14:paraId="1615688C"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COVID-19- FondsG</w:t>
            </w:r>
          </w:p>
        </w:tc>
        <w:tc>
          <w:tcPr>
            <w:tcW w:w="1166" w:type="dxa"/>
          </w:tcPr>
          <w:p w14:paraId="4E5872BD"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3236991F"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r>
      <w:tr w:rsidR="00015E82" w:rsidRPr="00015E82" w14:paraId="600F49E9" w14:textId="77777777" w:rsidTr="00383AF8">
        <w:tc>
          <w:tcPr>
            <w:tcW w:w="5015" w:type="dxa"/>
          </w:tcPr>
          <w:p w14:paraId="6CEDB18B"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Zuschüsse Härtefallfonds - allgemein</w:t>
            </w:r>
          </w:p>
        </w:tc>
        <w:tc>
          <w:tcPr>
            <w:tcW w:w="1963" w:type="dxa"/>
          </w:tcPr>
          <w:p w14:paraId="75C12332" w14:textId="6E5D1CCA" w:rsidR="00015E82" w:rsidRPr="00015E82" w:rsidRDefault="00015E82" w:rsidP="00C5326D">
            <w:pPr>
              <w:spacing w:line="276" w:lineRule="auto"/>
              <w:jc w:val="center"/>
              <w:rPr>
                <w:rFonts w:cs="Arial"/>
                <w:color w:val="333333"/>
                <w:lang w:val="de-DE"/>
              </w:rPr>
            </w:pPr>
            <w:r w:rsidRPr="00015E82">
              <w:rPr>
                <w:rFonts w:cs="Arial"/>
                <w:color w:val="333333"/>
                <w:lang w:val="de-DE"/>
              </w:rPr>
              <w:t>Härt</w:t>
            </w:r>
            <w:r w:rsidR="00C5326D">
              <w:rPr>
                <w:rFonts w:cs="Arial"/>
                <w:color w:val="333333"/>
                <w:lang w:val="de-DE"/>
              </w:rPr>
              <w:t>e</w:t>
            </w:r>
            <w:r w:rsidRPr="00015E82">
              <w:rPr>
                <w:rFonts w:cs="Arial"/>
                <w:color w:val="333333"/>
                <w:lang w:val="de-DE"/>
              </w:rPr>
              <w:t>fallfondsgesetz</w:t>
            </w:r>
          </w:p>
        </w:tc>
        <w:tc>
          <w:tcPr>
            <w:tcW w:w="1166" w:type="dxa"/>
          </w:tcPr>
          <w:p w14:paraId="0D701F31"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21694F2E"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02915F09" w14:textId="77777777" w:rsidTr="00383AF8">
        <w:tc>
          <w:tcPr>
            <w:tcW w:w="5015" w:type="dxa"/>
          </w:tcPr>
          <w:p w14:paraId="4593644F"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 xml:space="preserve">Zuschüsse Härtefallfonds für LuF und Vermieter von Gästezimmer und Ferienwohnungen </w:t>
            </w:r>
          </w:p>
        </w:tc>
        <w:tc>
          <w:tcPr>
            <w:tcW w:w="1963" w:type="dxa"/>
          </w:tcPr>
          <w:p w14:paraId="427BFD6C" w14:textId="052655F1" w:rsidR="00015E82" w:rsidRPr="00015E82" w:rsidRDefault="00015E82" w:rsidP="00C5326D">
            <w:pPr>
              <w:spacing w:line="276" w:lineRule="auto"/>
              <w:jc w:val="center"/>
              <w:rPr>
                <w:rFonts w:cs="Arial"/>
                <w:color w:val="333333"/>
                <w:lang w:val="de-DE"/>
              </w:rPr>
            </w:pPr>
            <w:r w:rsidRPr="00015E82">
              <w:rPr>
                <w:rFonts w:cs="Arial"/>
                <w:color w:val="333333"/>
                <w:lang w:val="de-DE"/>
              </w:rPr>
              <w:t>Härt</w:t>
            </w:r>
            <w:r w:rsidR="00C5326D">
              <w:rPr>
                <w:rFonts w:cs="Arial"/>
                <w:color w:val="333333"/>
                <w:lang w:val="de-DE"/>
              </w:rPr>
              <w:t>e</w:t>
            </w:r>
            <w:r w:rsidRPr="00015E82">
              <w:rPr>
                <w:rFonts w:cs="Arial"/>
                <w:color w:val="333333"/>
                <w:lang w:val="de-DE"/>
              </w:rPr>
              <w:t>fallfondsgesetz</w:t>
            </w:r>
          </w:p>
        </w:tc>
        <w:tc>
          <w:tcPr>
            <w:tcW w:w="1166" w:type="dxa"/>
          </w:tcPr>
          <w:p w14:paraId="29B5E018"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4162B39D"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5FCFC4DA" w14:textId="77777777" w:rsidTr="00383AF8">
        <w:tc>
          <w:tcPr>
            <w:tcW w:w="5015" w:type="dxa"/>
          </w:tcPr>
          <w:p w14:paraId="1DF79D4F"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Lockdown-Umsatzersatz für LuF und Vermieter von Gästezimmer und Ferienwohnungen</w:t>
            </w:r>
          </w:p>
        </w:tc>
        <w:tc>
          <w:tcPr>
            <w:tcW w:w="1963" w:type="dxa"/>
          </w:tcPr>
          <w:p w14:paraId="3F5AACA7" w14:textId="2ABBA909" w:rsidR="00015E82" w:rsidRPr="00015E82" w:rsidRDefault="00015E82" w:rsidP="00C5326D">
            <w:pPr>
              <w:spacing w:line="276" w:lineRule="auto"/>
              <w:jc w:val="center"/>
              <w:rPr>
                <w:rFonts w:cs="Arial"/>
                <w:color w:val="333333"/>
                <w:lang w:val="de-DE"/>
              </w:rPr>
            </w:pPr>
            <w:r w:rsidRPr="00015E82">
              <w:rPr>
                <w:rFonts w:cs="Arial"/>
                <w:color w:val="333333"/>
                <w:lang w:val="de-DE"/>
              </w:rPr>
              <w:t>Härt</w:t>
            </w:r>
            <w:r w:rsidR="00C5326D">
              <w:rPr>
                <w:rFonts w:cs="Arial"/>
                <w:color w:val="333333"/>
                <w:lang w:val="de-DE"/>
              </w:rPr>
              <w:t>e</w:t>
            </w:r>
            <w:r w:rsidRPr="00015E82">
              <w:rPr>
                <w:rFonts w:cs="Arial"/>
                <w:color w:val="333333"/>
                <w:lang w:val="de-DE"/>
              </w:rPr>
              <w:t>fallfondsgesetz</w:t>
            </w:r>
          </w:p>
        </w:tc>
        <w:tc>
          <w:tcPr>
            <w:tcW w:w="1166" w:type="dxa"/>
          </w:tcPr>
          <w:p w14:paraId="149E620E"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c>
          <w:tcPr>
            <w:tcW w:w="1484" w:type="dxa"/>
          </w:tcPr>
          <w:p w14:paraId="1B246F55"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75BD0F38" w14:textId="77777777" w:rsidTr="00383AF8">
        <w:tc>
          <w:tcPr>
            <w:tcW w:w="5015" w:type="dxa"/>
          </w:tcPr>
          <w:p w14:paraId="40BFC925"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Fixkostenzuschuss I, Fixkostenzuschuss 800.000 (inkl. Vorschuss)</w:t>
            </w:r>
          </w:p>
        </w:tc>
        <w:tc>
          <w:tcPr>
            <w:tcW w:w="1963" w:type="dxa"/>
          </w:tcPr>
          <w:p w14:paraId="18946424"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ABBAG-Gesetz</w:t>
            </w:r>
          </w:p>
        </w:tc>
        <w:tc>
          <w:tcPr>
            <w:tcW w:w="1166" w:type="dxa"/>
          </w:tcPr>
          <w:p w14:paraId="0FD26870"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15FD3C60" w14:textId="04E575B9" w:rsidR="00015E82" w:rsidRPr="00015E82" w:rsidRDefault="00C5326D" w:rsidP="00C5326D">
            <w:pPr>
              <w:spacing w:line="276" w:lineRule="auto"/>
              <w:jc w:val="center"/>
              <w:rPr>
                <w:rFonts w:cs="Arial"/>
                <w:color w:val="333333"/>
                <w:lang w:val="de-DE"/>
              </w:rPr>
            </w:pPr>
            <w:r>
              <w:rPr>
                <w:rFonts w:cs="Arial"/>
                <w:color w:val="333333"/>
                <w:lang w:val="de-DE"/>
              </w:rPr>
              <w:t>j</w:t>
            </w:r>
            <w:r w:rsidR="00015E82" w:rsidRPr="00015E82">
              <w:rPr>
                <w:rFonts w:cs="Arial"/>
                <w:color w:val="333333"/>
                <w:lang w:val="de-DE"/>
              </w:rPr>
              <w:t>a</w:t>
            </w:r>
          </w:p>
          <w:p w14:paraId="2F01DE62" w14:textId="77777777" w:rsidR="00015E82" w:rsidRPr="00C5326D" w:rsidRDefault="00015E82" w:rsidP="00C5326D">
            <w:pPr>
              <w:spacing w:line="276" w:lineRule="auto"/>
              <w:jc w:val="center"/>
              <w:rPr>
                <w:rFonts w:cs="Arial"/>
                <w:color w:val="333333"/>
                <w:sz w:val="16"/>
                <w:szCs w:val="16"/>
                <w:lang w:val="de-DE"/>
              </w:rPr>
            </w:pPr>
            <w:r w:rsidRPr="00C5326D">
              <w:rPr>
                <w:rFonts w:cs="Arial"/>
                <w:color w:val="333333"/>
                <w:sz w:val="16"/>
                <w:szCs w:val="16"/>
                <w:lang w:val="de-DE"/>
              </w:rPr>
              <w:t>siehe Rz 313e</w:t>
            </w:r>
          </w:p>
        </w:tc>
      </w:tr>
      <w:tr w:rsidR="00015E82" w:rsidRPr="00015E82" w14:paraId="0EA7E4BE" w14:textId="77777777" w:rsidTr="00383AF8">
        <w:tc>
          <w:tcPr>
            <w:tcW w:w="5015" w:type="dxa"/>
          </w:tcPr>
          <w:p w14:paraId="70FDCB55"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Verlustersatz</w:t>
            </w:r>
          </w:p>
        </w:tc>
        <w:tc>
          <w:tcPr>
            <w:tcW w:w="1963" w:type="dxa"/>
          </w:tcPr>
          <w:p w14:paraId="536E5C9C"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ABBAG-Gesetz</w:t>
            </w:r>
          </w:p>
        </w:tc>
        <w:tc>
          <w:tcPr>
            <w:tcW w:w="1166" w:type="dxa"/>
          </w:tcPr>
          <w:p w14:paraId="4BE3B9B1"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c>
          <w:tcPr>
            <w:tcW w:w="1484" w:type="dxa"/>
          </w:tcPr>
          <w:p w14:paraId="7A57A027"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ja</w:t>
            </w:r>
          </w:p>
        </w:tc>
      </w:tr>
      <w:tr w:rsidR="00015E82" w:rsidRPr="00015E82" w14:paraId="26CD06D6" w14:textId="77777777" w:rsidTr="00383AF8">
        <w:tc>
          <w:tcPr>
            <w:tcW w:w="5015" w:type="dxa"/>
          </w:tcPr>
          <w:p w14:paraId="59FF0824"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 xml:space="preserve">Lockdown-Umsatzersatz I und II </w:t>
            </w:r>
          </w:p>
        </w:tc>
        <w:tc>
          <w:tcPr>
            <w:tcW w:w="1963" w:type="dxa"/>
          </w:tcPr>
          <w:p w14:paraId="27E832FB"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ABBAG-Gesetz</w:t>
            </w:r>
          </w:p>
        </w:tc>
        <w:tc>
          <w:tcPr>
            <w:tcW w:w="1166" w:type="dxa"/>
          </w:tcPr>
          <w:p w14:paraId="11F8A239"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c>
          <w:tcPr>
            <w:tcW w:w="1484" w:type="dxa"/>
          </w:tcPr>
          <w:p w14:paraId="0A7432C9"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r w:rsidR="00015E82" w:rsidRPr="00015E82" w14:paraId="3706CB69" w14:textId="77777777" w:rsidTr="00383AF8">
        <w:tc>
          <w:tcPr>
            <w:tcW w:w="5015" w:type="dxa"/>
          </w:tcPr>
          <w:p w14:paraId="228C13F7" w14:textId="77777777" w:rsidR="00015E82" w:rsidRPr="00015E82" w:rsidRDefault="00015E82" w:rsidP="00015E82">
            <w:pPr>
              <w:spacing w:line="276" w:lineRule="auto"/>
              <w:jc w:val="both"/>
              <w:rPr>
                <w:rFonts w:cs="Arial"/>
                <w:color w:val="333333"/>
                <w:lang w:val="de-DE"/>
              </w:rPr>
            </w:pPr>
            <w:r w:rsidRPr="00015E82">
              <w:rPr>
                <w:rFonts w:cs="Arial"/>
                <w:color w:val="333333"/>
                <w:lang w:val="de-DE"/>
              </w:rPr>
              <w:t>Ausfallsbonus ieS</w:t>
            </w:r>
          </w:p>
        </w:tc>
        <w:tc>
          <w:tcPr>
            <w:tcW w:w="1963" w:type="dxa"/>
          </w:tcPr>
          <w:p w14:paraId="72E6A47F"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ABBAG-Gesetz</w:t>
            </w:r>
          </w:p>
        </w:tc>
        <w:tc>
          <w:tcPr>
            <w:tcW w:w="1166" w:type="dxa"/>
          </w:tcPr>
          <w:p w14:paraId="15419E11"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c>
          <w:tcPr>
            <w:tcW w:w="1484" w:type="dxa"/>
          </w:tcPr>
          <w:p w14:paraId="1159A475" w14:textId="77777777" w:rsidR="00015E82" w:rsidRPr="00015E82" w:rsidRDefault="00015E82" w:rsidP="00C5326D">
            <w:pPr>
              <w:spacing w:line="276" w:lineRule="auto"/>
              <w:jc w:val="center"/>
              <w:rPr>
                <w:rFonts w:cs="Arial"/>
                <w:color w:val="333333"/>
                <w:lang w:val="de-DE"/>
              </w:rPr>
            </w:pPr>
            <w:r w:rsidRPr="00015E82">
              <w:rPr>
                <w:rFonts w:cs="Arial"/>
                <w:color w:val="333333"/>
                <w:lang w:val="de-DE"/>
              </w:rPr>
              <w:t>nein</w:t>
            </w:r>
          </w:p>
        </w:tc>
      </w:tr>
    </w:tbl>
    <w:p w14:paraId="1AB649BF" w14:textId="77777777" w:rsidR="00015E82" w:rsidRPr="00015E82" w:rsidRDefault="00015E82" w:rsidP="00015E82">
      <w:pPr>
        <w:spacing w:line="276" w:lineRule="auto"/>
        <w:jc w:val="both"/>
        <w:rPr>
          <w:rFonts w:cs="Arial"/>
          <w:color w:val="333333"/>
          <w:lang w:val="de-DE"/>
        </w:rPr>
      </w:pPr>
    </w:p>
    <w:p w14:paraId="5E37EC9E" w14:textId="468742DD" w:rsidR="00015E8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t xml:space="preserve">In </w:t>
      </w:r>
      <w:r w:rsidRPr="00015E82">
        <w:rPr>
          <w:rFonts w:cs="Arial"/>
          <w:b/>
          <w:bCs/>
          <w:color w:val="000000" w:themeColor="text1"/>
          <w:kern w:val="16"/>
          <w:lang w:val="de-DE" w:eastAsia="en-GB"/>
        </w:rPr>
        <w:t>Rz 313e</w:t>
      </w:r>
      <w:r w:rsidRPr="00015E82">
        <w:rPr>
          <w:rFonts w:cs="Arial"/>
          <w:color w:val="000000" w:themeColor="text1"/>
          <w:kern w:val="16"/>
          <w:lang w:val="de-DE" w:eastAsia="en-GB"/>
        </w:rPr>
        <w:t xml:space="preserve"> wird klargestellt, dass beim Fixkostenzuschuss</w:t>
      </w:r>
      <w:r w:rsidR="004C0F13">
        <w:rPr>
          <w:rFonts w:cs="Arial"/>
          <w:color w:val="000000" w:themeColor="text1"/>
          <w:kern w:val="16"/>
          <w:lang w:val="de-DE" w:eastAsia="en-GB"/>
        </w:rPr>
        <w:t xml:space="preserve"> (FKZ) </w:t>
      </w:r>
      <w:r w:rsidR="00320ED4">
        <w:rPr>
          <w:rFonts w:cs="Arial"/>
          <w:color w:val="000000" w:themeColor="text1"/>
          <w:kern w:val="16"/>
          <w:lang w:val="de-DE" w:eastAsia="en-GB"/>
        </w:rPr>
        <w:t xml:space="preserve">der </w:t>
      </w:r>
      <w:r w:rsidRPr="00015E82">
        <w:rPr>
          <w:rFonts w:cs="Arial"/>
          <w:color w:val="000000" w:themeColor="text1"/>
          <w:kern w:val="16"/>
          <w:lang w:val="de-DE" w:eastAsia="en-GB"/>
        </w:rPr>
        <w:t xml:space="preserve">auf einen fiktiven </w:t>
      </w:r>
      <w:r w:rsidRPr="00015E82">
        <w:rPr>
          <w:rFonts w:cs="Arial"/>
          <w:b/>
          <w:bCs/>
          <w:color w:val="000000" w:themeColor="text1"/>
          <w:kern w:val="16"/>
          <w:lang w:val="de-DE" w:eastAsia="en-GB"/>
        </w:rPr>
        <w:t>Unternehmerlohn</w:t>
      </w:r>
      <w:r w:rsidR="009922DB">
        <w:rPr>
          <w:rFonts w:cs="Arial"/>
          <w:b/>
          <w:bCs/>
          <w:color w:val="000000" w:themeColor="text1"/>
          <w:kern w:val="16"/>
          <w:lang w:val="de-DE" w:eastAsia="en-GB"/>
        </w:rPr>
        <w:t xml:space="preserve"> entfallende Anteil</w:t>
      </w:r>
      <w:r w:rsidRPr="00015E82">
        <w:rPr>
          <w:rFonts w:cs="Arial"/>
          <w:color w:val="000000" w:themeColor="text1"/>
          <w:kern w:val="16"/>
          <w:lang w:val="de-DE" w:eastAsia="en-GB"/>
        </w:rPr>
        <w:t xml:space="preserve"> zu keiner Kürzung der steuerlichen Betriebsausgaben führt. Soweit der FKZ auf pauschal unter Heranziehung von branchenspezifischen Durchschnittswerten ermittelte </w:t>
      </w:r>
      <w:r w:rsidRPr="00015E82">
        <w:rPr>
          <w:rFonts w:cs="Arial"/>
          <w:b/>
          <w:bCs/>
          <w:color w:val="000000" w:themeColor="text1"/>
          <w:kern w:val="16"/>
          <w:lang w:val="de-DE" w:eastAsia="en-GB"/>
        </w:rPr>
        <w:t>frustrierte Aufwendungen</w:t>
      </w:r>
      <w:r w:rsidRPr="00015E82">
        <w:rPr>
          <w:rFonts w:cs="Arial"/>
          <w:color w:val="000000" w:themeColor="text1"/>
          <w:kern w:val="16"/>
          <w:lang w:val="de-DE" w:eastAsia="en-GB"/>
        </w:rPr>
        <w:t xml:space="preserve"> entfällt, ist ebenfalls keine Ausgabenkürzung vorzunehmen. Der pauschale FKZ führt aber zu einer Aufwandskürzung. Der Vorschuss FKZ 800.000 stellt erst zu jenem Zeitpunkt eine steuerfreie Betriebseinnahme dar, zu dem er mit dem FKZ 800.000 verrechnet wird. Die Betrachtungszeiträume, für die der Vorschuss FKZ 800.000 gewährt wurde, sind auf Grund der Gegenrechnung mit dem tatsächlichen FKZ 800.000 für die Betriebsausgabenkürzung nicht relevant.</w:t>
      </w:r>
    </w:p>
    <w:p w14:paraId="751B37C0" w14:textId="77777777" w:rsidR="000966B2" w:rsidRPr="00015E82" w:rsidRDefault="000966B2" w:rsidP="00015E82">
      <w:pPr>
        <w:spacing w:line="276" w:lineRule="auto"/>
        <w:jc w:val="both"/>
        <w:rPr>
          <w:rFonts w:cs="Arial"/>
          <w:color w:val="000000" w:themeColor="text1"/>
          <w:kern w:val="16"/>
          <w:lang w:val="de-DE" w:eastAsia="en-GB"/>
        </w:rPr>
      </w:pPr>
    </w:p>
    <w:p w14:paraId="0B158960" w14:textId="79421C3A" w:rsidR="000966B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lastRenderedPageBreak/>
        <w:t xml:space="preserve">In </w:t>
      </w:r>
      <w:r w:rsidRPr="000966B2">
        <w:rPr>
          <w:rFonts w:cs="Arial"/>
          <w:b/>
          <w:bCs/>
          <w:color w:val="000000" w:themeColor="text1"/>
          <w:kern w:val="16"/>
          <w:lang w:val="de-DE" w:eastAsia="en-GB"/>
        </w:rPr>
        <w:t>Rz 313b</w:t>
      </w:r>
      <w:r w:rsidRPr="00015E82">
        <w:rPr>
          <w:rFonts w:cs="Arial"/>
          <w:color w:val="000000" w:themeColor="text1"/>
          <w:kern w:val="16"/>
          <w:lang w:val="de-DE" w:eastAsia="en-GB"/>
        </w:rPr>
        <w:t xml:space="preserve"> wird erleichternd ausgeführt, dass im Falle einer Betriebsausgabenkürzung nicht die einzelnen Ausgaben gekürzt werden müssen, sondern der Kürzungsbetrag als betrieblicher Ertrag in der Steuererklärung dargestellt werden kann. Betriebsausgabenpauschalien sind nicht zu kürzen. Steuerpflichtige Zuschüsse (wie zB Umsatzersatz, Ausfallsbonus) sind auf Grund einer Sonderregelung im EStG immer dem Jahr zuzuordnen, für das der Anspruch besteht.</w:t>
      </w:r>
    </w:p>
    <w:p w14:paraId="227D4723" w14:textId="4BB5734F" w:rsidR="00015E82" w:rsidRPr="00015E8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t xml:space="preserve"> </w:t>
      </w:r>
    </w:p>
    <w:p w14:paraId="3B1EC61C" w14:textId="77777777" w:rsidR="00015E82" w:rsidRPr="00015E82" w:rsidRDefault="00015E82" w:rsidP="00015E82">
      <w:pPr>
        <w:spacing w:line="276" w:lineRule="auto"/>
        <w:jc w:val="both"/>
        <w:rPr>
          <w:rFonts w:cs="Arial"/>
          <w:b/>
          <w:bCs/>
          <w:color w:val="000000" w:themeColor="text1"/>
          <w:kern w:val="16"/>
          <w:lang w:val="de-DE" w:eastAsia="en-GB"/>
        </w:rPr>
      </w:pPr>
      <w:r w:rsidRPr="00015E82">
        <w:rPr>
          <w:rFonts w:cs="Arial"/>
          <w:b/>
          <w:bCs/>
          <w:color w:val="000000" w:themeColor="text1"/>
          <w:kern w:val="16"/>
          <w:lang w:val="de-DE" w:eastAsia="en-GB"/>
        </w:rPr>
        <w:t xml:space="preserve">Rz 3826a und 8208f: Investitionsprämie und Forschungsfreibetrag </w:t>
      </w:r>
    </w:p>
    <w:p w14:paraId="26A2E316" w14:textId="12E72D03" w:rsidR="00015E82" w:rsidRPr="00015E8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t>Die Investitionsprämie ist steuerfrei und führt auch zu keiner Kürzung der Anschaffungs- bzw. Herstellungskosten. Da aber bei der Forschungsprämie steuerfrei</w:t>
      </w:r>
      <w:r w:rsidR="009922DB">
        <w:rPr>
          <w:rFonts w:cs="Arial"/>
          <w:color w:val="000000" w:themeColor="text1"/>
          <w:kern w:val="16"/>
          <w:lang w:val="de-DE" w:eastAsia="en-GB"/>
        </w:rPr>
        <w:t>e</w:t>
      </w:r>
      <w:r w:rsidRPr="00015E82">
        <w:rPr>
          <w:rFonts w:cs="Arial"/>
          <w:color w:val="000000" w:themeColor="text1"/>
          <w:kern w:val="16"/>
          <w:lang w:val="de-DE" w:eastAsia="en-GB"/>
        </w:rPr>
        <w:t xml:space="preserve"> Zuwendungen aus öffentlichen Mittel abzuziehen sind, führt nach Meinung der Finanzverwaltung die Investitionsprämie hier dennoch zu einer Kürzung der Anschaffungs- bzw. Herstellungskosten und damit der AFA, soweit diese in der Bemessungsgrundlage für die Forschungsprämie berücksichtigt wurde. </w:t>
      </w:r>
    </w:p>
    <w:p w14:paraId="45717DB0" w14:textId="77777777" w:rsidR="00015E82" w:rsidRPr="00015E82" w:rsidRDefault="00015E82" w:rsidP="00015E82">
      <w:pPr>
        <w:spacing w:line="276" w:lineRule="auto"/>
        <w:jc w:val="both"/>
        <w:rPr>
          <w:rFonts w:cs="Arial"/>
          <w:b/>
          <w:bCs/>
          <w:color w:val="000000" w:themeColor="text1"/>
          <w:kern w:val="16"/>
          <w:lang w:val="de-DE" w:eastAsia="en-GB"/>
        </w:rPr>
      </w:pPr>
      <w:proofErr w:type="spellStart"/>
      <w:r w:rsidRPr="00015E82">
        <w:rPr>
          <w:rFonts w:cs="Arial"/>
          <w:b/>
          <w:bCs/>
          <w:color w:val="000000" w:themeColor="text1"/>
          <w:kern w:val="16"/>
          <w:lang w:val="de-DE" w:eastAsia="en-GB"/>
        </w:rPr>
        <w:t>Rz</w:t>
      </w:r>
      <w:proofErr w:type="spellEnd"/>
      <w:r w:rsidRPr="00015E82">
        <w:rPr>
          <w:rFonts w:cs="Arial"/>
          <w:b/>
          <w:bCs/>
          <w:color w:val="000000" w:themeColor="text1"/>
          <w:kern w:val="16"/>
          <w:lang w:val="de-DE" w:eastAsia="en-GB"/>
        </w:rPr>
        <w:t xml:space="preserve"> 2373: Pauschale Forderungswertberichtigung</w:t>
      </w:r>
    </w:p>
    <w:p w14:paraId="2DEF979D" w14:textId="4E1D0096" w:rsidR="00015E8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t>Bekanntlich kann für Wirtschaftsjahre, die nach dem</w:t>
      </w:r>
      <w:r w:rsidR="009922DB">
        <w:rPr>
          <w:rFonts w:cs="Arial"/>
          <w:color w:val="000000" w:themeColor="text1"/>
          <w:kern w:val="16"/>
          <w:lang w:val="de-DE" w:eastAsia="en-GB"/>
        </w:rPr>
        <w:t xml:space="preserve"> 31.12.2020 beginnen</w:t>
      </w:r>
      <w:r w:rsidRPr="00015E82">
        <w:rPr>
          <w:rFonts w:cs="Arial"/>
          <w:color w:val="000000" w:themeColor="text1"/>
          <w:kern w:val="16"/>
          <w:lang w:val="de-DE" w:eastAsia="en-GB"/>
        </w:rPr>
        <w:t xml:space="preserve">, eine pauschale Forderungswertberichtigung gebildet werden, die auch vor diesem Stichtag entstandene Forderungen umfassen kann. Für die Pauschalwertberichtigung derartiger Altforderungen ist eine Verteilung auf fünf Wirtschaftsjahre vorgesehen. Um nicht die Entwicklung jeder einzelnen Altforderung nachvollziehen zu müssen, kann vereinfachend die aus dem Stand der nicht einzelwertberichtigten Forderungen des Vorjahres berechnete Pauschalwertberichtigung über fünf Jahre verteilt abgesetzt werden. Die Differenz zu der auf Basis des Forderungsstandes des aktuellen Jahres ermittelte pauschale Wertberichtigung ist dann voll abzugsfähig. </w:t>
      </w:r>
    </w:p>
    <w:p w14:paraId="4A5CBC34" w14:textId="77777777" w:rsidR="000966B2" w:rsidRPr="00015E82" w:rsidRDefault="000966B2" w:rsidP="00015E82">
      <w:pPr>
        <w:spacing w:line="276" w:lineRule="auto"/>
        <w:jc w:val="both"/>
        <w:rPr>
          <w:rFonts w:cs="Arial"/>
          <w:color w:val="000000" w:themeColor="text1"/>
          <w:kern w:val="16"/>
          <w:lang w:val="de-DE" w:eastAsia="en-GB"/>
        </w:rPr>
      </w:pPr>
    </w:p>
    <w:p w14:paraId="5B98313C" w14:textId="77777777" w:rsidR="00015E82" w:rsidRPr="00015E82" w:rsidRDefault="00015E82" w:rsidP="00015E82">
      <w:pPr>
        <w:spacing w:line="276" w:lineRule="auto"/>
        <w:jc w:val="both"/>
        <w:rPr>
          <w:rFonts w:cs="Arial"/>
          <w:b/>
          <w:bCs/>
          <w:color w:val="000000" w:themeColor="text1"/>
          <w:kern w:val="16"/>
          <w:lang w:val="de-DE" w:eastAsia="en-GB"/>
        </w:rPr>
      </w:pPr>
      <w:r w:rsidRPr="00015E82">
        <w:rPr>
          <w:rFonts w:cs="Arial"/>
          <w:b/>
          <w:bCs/>
          <w:color w:val="000000" w:themeColor="text1"/>
          <w:kern w:val="16"/>
          <w:lang w:val="de-DE" w:eastAsia="en-GB"/>
        </w:rPr>
        <w:t>Rz 3261: degressive Abschreibung</w:t>
      </w:r>
    </w:p>
    <w:p w14:paraId="78A5A468" w14:textId="075453C8" w:rsidR="00015E82" w:rsidRDefault="00E82E4A" w:rsidP="00015E82">
      <w:pPr>
        <w:spacing w:line="276" w:lineRule="auto"/>
        <w:jc w:val="both"/>
        <w:rPr>
          <w:rFonts w:cs="Arial"/>
          <w:color w:val="000000" w:themeColor="text1"/>
          <w:kern w:val="16"/>
          <w:lang w:val="de-DE" w:eastAsia="en-GB"/>
        </w:rPr>
      </w:pPr>
      <w:r>
        <w:rPr>
          <w:rFonts w:cs="Arial"/>
          <w:color w:val="000000" w:themeColor="text1"/>
          <w:kern w:val="16"/>
          <w:lang w:val="de-DE" w:eastAsia="en-GB"/>
        </w:rPr>
        <w:t xml:space="preserve">Für eine Vielzahl von nach dem 30. Juni 2020 angeschaffte oder hergestellte Wirtschaftsgüter besteht die </w:t>
      </w:r>
      <w:r w:rsidR="00015E82" w:rsidRPr="00015E82">
        <w:rPr>
          <w:rFonts w:cs="Arial"/>
          <w:color w:val="000000" w:themeColor="text1"/>
          <w:kern w:val="16"/>
          <w:lang w:val="de-DE" w:eastAsia="en-GB"/>
        </w:rPr>
        <w:t xml:space="preserve">Möglichkeit, </w:t>
      </w:r>
      <w:proofErr w:type="gramStart"/>
      <w:r>
        <w:rPr>
          <w:rFonts w:cs="Arial"/>
          <w:color w:val="000000" w:themeColor="text1"/>
          <w:kern w:val="16"/>
          <w:lang w:val="de-DE" w:eastAsia="en-GB"/>
        </w:rPr>
        <w:t xml:space="preserve">diese </w:t>
      </w:r>
      <w:r w:rsidR="009922DB">
        <w:rPr>
          <w:rFonts w:cs="Arial"/>
          <w:color w:val="000000" w:themeColor="text1"/>
          <w:kern w:val="16"/>
          <w:lang w:val="de-DE" w:eastAsia="en-GB"/>
        </w:rPr>
        <w:t xml:space="preserve"> </w:t>
      </w:r>
      <w:r w:rsidR="00015E82" w:rsidRPr="00015E82">
        <w:rPr>
          <w:rFonts w:cs="Arial"/>
          <w:color w:val="000000" w:themeColor="text1"/>
          <w:kern w:val="16"/>
          <w:lang w:val="de-DE" w:eastAsia="en-GB"/>
        </w:rPr>
        <w:t>mit</w:t>
      </w:r>
      <w:proofErr w:type="gramEnd"/>
      <w:r w:rsidR="00015E82" w:rsidRPr="00015E82">
        <w:rPr>
          <w:rFonts w:cs="Arial"/>
          <w:color w:val="000000" w:themeColor="text1"/>
          <w:kern w:val="16"/>
          <w:lang w:val="de-DE" w:eastAsia="en-GB"/>
        </w:rPr>
        <w:t xml:space="preserve"> maximal 30% degressiv vom jeweiligen Buchwert abzuschreiben. Für Anschaffungen bzw. Herstellungen bis zum 31.12.2021 kann die degressive Abschreibung unabhängig vom Unternehmensrecht vorgenommen werden. Die degressive Abschreibung steht unabhängig von der Gewinnermittlungsart zu. Sie kann daher auch im außerbetrieblichen Bereich (zB Kücheneinrichtung bei Mieteinkünften) in Anspruch genommen werden. </w:t>
      </w:r>
    </w:p>
    <w:p w14:paraId="1FBBA62F" w14:textId="77777777" w:rsidR="000966B2" w:rsidRPr="00015E82" w:rsidRDefault="000966B2" w:rsidP="00015E82">
      <w:pPr>
        <w:spacing w:line="276" w:lineRule="auto"/>
        <w:jc w:val="both"/>
        <w:rPr>
          <w:rFonts w:cs="Arial"/>
          <w:color w:val="000000" w:themeColor="text1"/>
          <w:kern w:val="16"/>
          <w:lang w:val="de-DE" w:eastAsia="en-GB"/>
        </w:rPr>
      </w:pPr>
    </w:p>
    <w:p w14:paraId="05A13347" w14:textId="77777777" w:rsidR="00015E82" w:rsidRPr="00015E82" w:rsidRDefault="00015E82" w:rsidP="00015E82">
      <w:pPr>
        <w:spacing w:line="276" w:lineRule="auto"/>
        <w:jc w:val="both"/>
        <w:rPr>
          <w:rFonts w:cs="Arial"/>
          <w:b/>
          <w:bCs/>
          <w:color w:val="000000" w:themeColor="text1"/>
          <w:kern w:val="16"/>
          <w:lang w:val="de-DE" w:eastAsia="en-GB"/>
        </w:rPr>
      </w:pPr>
      <w:r w:rsidRPr="00015E82">
        <w:rPr>
          <w:rFonts w:cs="Arial"/>
          <w:b/>
          <w:bCs/>
          <w:color w:val="000000" w:themeColor="text1"/>
          <w:kern w:val="16"/>
          <w:lang w:val="de-DE" w:eastAsia="en-GB"/>
        </w:rPr>
        <w:t>Rz 4771: Luxustangente bei PKWs und Kombis</w:t>
      </w:r>
    </w:p>
    <w:p w14:paraId="1438EA43" w14:textId="03D8A973" w:rsidR="00015E8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t>Da die Anschaffung von vorsteuerabzugsberechtigten PKWs bzw</w:t>
      </w:r>
      <w:r w:rsidR="00835C0A">
        <w:rPr>
          <w:rFonts w:cs="Arial"/>
          <w:color w:val="000000" w:themeColor="text1"/>
          <w:kern w:val="16"/>
          <w:lang w:val="de-DE" w:eastAsia="en-GB"/>
        </w:rPr>
        <w:t xml:space="preserve"> </w:t>
      </w:r>
      <w:r w:rsidRPr="00015E82">
        <w:rPr>
          <w:rFonts w:cs="Arial"/>
          <w:color w:val="000000" w:themeColor="text1"/>
          <w:kern w:val="16"/>
          <w:lang w:val="de-DE" w:eastAsia="en-GB"/>
        </w:rPr>
        <w:t xml:space="preserve">Kombis durch die vielen Begünstigungen für Elektroautos immer beliebter wird, wird in den Richtlinien darauf hingewiesen, dass die Angemessenheitsgrenze von </w:t>
      </w:r>
      <w:r w:rsidR="00835C0A">
        <w:rPr>
          <w:rFonts w:cs="Arial"/>
          <w:color w:val="000000" w:themeColor="text1"/>
          <w:kern w:val="16"/>
          <w:lang w:val="de-DE" w:eastAsia="en-GB"/>
        </w:rPr>
        <w:t>€</w:t>
      </w:r>
      <w:r w:rsidRPr="00015E82">
        <w:rPr>
          <w:rFonts w:cs="Arial"/>
          <w:color w:val="000000" w:themeColor="text1"/>
          <w:kern w:val="16"/>
          <w:lang w:val="de-DE" w:eastAsia="en-GB"/>
        </w:rPr>
        <w:t xml:space="preserve"> 40.000 eine Bruttogrenze darstellt und daher in einen Nettobetrag von </w:t>
      </w:r>
      <w:r w:rsidR="00835C0A">
        <w:rPr>
          <w:rFonts w:cs="Arial"/>
          <w:color w:val="000000" w:themeColor="text1"/>
          <w:kern w:val="16"/>
          <w:lang w:val="de-DE" w:eastAsia="en-GB"/>
        </w:rPr>
        <w:t>€</w:t>
      </w:r>
      <w:r w:rsidRPr="00015E82">
        <w:rPr>
          <w:rFonts w:cs="Arial"/>
          <w:color w:val="000000" w:themeColor="text1"/>
          <w:kern w:val="16"/>
          <w:lang w:val="de-DE" w:eastAsia="en-GB"/>
        </w:rPr>
        <w:t xml:space="preserve"> 33.333 umgerechnet werden muss. Daher beträgt die steuerliche AFA maximal </w:t>
      </w:r>
      <w:r w:rsidR="00835C0A">
        <w:rPr>
          <w:rFonts w:cs="Arial"/>
          <w:color w:val="000000" w:themeColor="text1"/>
          <w:kern w:val="16"/>
          <w:lang w:val="de-DE" w:eastAsia="en-GB"/>
        </w:rPr>
        <w:t>€</w:t>
      </w:r>
      <w:r w:rsidRPr="00015E82">
        <w:rPr>
          <w:rFonts w:cs="Arial"/>
          <w:color w:val="000000" w:themeColor="text1"/>
          <w:kern w:val="16"/>
          <w:lang w:val="de-DE" w:eastAsia="en-GB"/>
        </w:rPr>
        <w:t xml:space="preserve"> 4.167,67. Zur Ermittlung der Luxustangente sind die Nettowerte miteinander in Relation zu setzen. </w:t>
      </w:r>
    </w:p>
    <w:p w14:paraId="3208797C" w14:textId="77777777" w:rsidR="000966B2" w:rsidRPr="00015E82" w:rsidRDefault="000966B2" w:rsidP="00015E82">
      <w:pPr>
        <w:spacing w:line="276" w:lineRule="auto"/>
        <w:jc w:val="both"/>
        <w:rPr>
          <w:rFonts w:cs="Arial"/>
          <w:color w:val="000000" w:themeColor="text1"/>
          <w:kern w:val="16"/>
          <w:lang w:val="de-DE" w:eastAsia="en-GB"/>
        </w:rPr>
      </w:pPr>
    </w:p>
    <w:p w14:paraId="667FBA0B" w14:textId="37C57F62" w:rsidR="00015E82" w:rsidRPr="00015E82" w:rsidRDefault="00015E82" w:rsidP="00015E82">
      <w:pPr>
        <w:spacing w:line="276" w:lineRule="auto"/>
        <w:jc w:val="both"/>
        <w:rPr>
          <w:rFonts w:cs="Arial"/>
          <w:b/>
          <w:bCs/>
          <w:color w:val="000000" w:themeColor="text1"/>
          <w:kern w:val="16"/>
          <w:lang w:val="de-DE" w:eastAsia="en-GB"/>
        </w:rPr>
      </w:pPr>
      <w:r w:rsidRPr="00015E82">
        <w:rPr>
          <w:rFonts w:cs="Arial"/>
          <w:b/>
          <w:bCs/>
          <w:color w:val="000000" w:themeColor="text1"/>
          <w:kern w:val="16"/>
          <w:lang w:val="de-DE" w:eastAsia="en-GB"/>
        </w:rPr>
        <w:t>Rz 7757b: KES</w:t>
      </w:r>
      <w:r w:rsidR="00BE79F7">
        <w:rPr>
          <w:rFonts w:cs="Arial"/>
          <w:b/>
          <w:bCs/>
          <w:color w:val="000000" w:themeColor="text1"/>
          <w:kern w:val="16"/>
          <w:lang w:val="de-DE" w:eastAsia="en-GB"/>
        </w:rPr>
        <w:t>t</w:t>
      </w:r>
      <w:r w:rsidRPr="00015E82">
        <w:rPr>
          <w:rFonts w:cs="Arial"/>
          <w:b/>
          <w:bCs/>
          <w:color w:val="000000" w:themeColor="text1"/>
          <w:kern w:val="16"/>
          <w:lang w:val="de-DE" w:eastAsia="en-GB"/>
        </w:rPr>
        <w:t>-Rückerstattung bei ausländischen Holdinggesellschaften</w:t>
      </w:r>
    </w:p>
    <w:p w14:paraId="4D11308E" w14:textId="36D2ED72" w:rsidR="00015E82" w:rsidRPr="00015E82" w:rsidRDefault="00015E82" w:rsidP="00015E82">
      <w:pPr>
        <w:spacing w:line="276" w:lineRule="auto"/>
        <w:jc w:val="both"/>
        <w:rPr>
          <w:rFonts w:cs="Arial"/>
          <w:color w:val="000000" w:themeColor="text1"/>
          <w:kern w:val="16"/>
          <w:lang w:val="de-DE" w:eastAsia="en-GB"/>
        </w:rPr>
      </w:pPr>
      <w:r w:rsidRPr="00015E82">
        <w:rPr>
          <w:rFonts w:cs="Arial"/>
          <w:color w:val="000000" w:themeColor="text1"/>
          <w:kern w:val="16"/>
          <w:lang w:val="de-DE" w:eastAsia="en-GB"/>
        </w:rPr>
        <w:t>Bei Ausschüttungen an ausländische reine Holdinggesellschaften ist in der Regel von der österreichischen Tochtergesellschaft Kapitalertragsteuer einzubehalten. Die DBA-konforme Rückerstattung der KEST muss dann von der ausländischen Holdinggesellschaft selbst beantragt und nach</w:t>
      </w:r>
      <w:r w:rsidR="00E82E4A">
        <w:rPr>
          <w:rFonts w:cs="Arial"/>
          <w:color w:val="000000" w:themeColor="text1"/>
          <w:kern w:val="16"/>
          <w:lang w:val="de-DE" w:eastAsia="en-GB"/>
        </w:rPr>
        <w:t>ge</w:t>
      </w:r>
      <w:r w:rsidRPr="00015E82">
        <w:rPr>
          <w:rFonts w:cs="Arial"/>
          <w:color w:val="000000" w:themeColor="text1"/>
          <w:kern w:val="16"/>
          <w:lang w:val="de-DE" w:eastAsia="en-GB"/>
        </w:rPr>
        <w:t>w</w:t>
      </w:r>
      <w:r w:rsidR="00E82E4A">
        <w:rPr>
          <w:rFonts w:cs="Arial"/>
          <w:color w:val="000000" w:themeColor="text1"/>
          <w:kern w:val="16"/>
          <w:lang w:val="de-DE" w:eastAsia="en-GB"/>
        </w:rPr>
        <w:t>i</w:t>
      </w:r>
      <w:r w:rsidRPr="00015E82">
        <w:rPr>
          <w:rFonts w:cs="Arial"/>
          <w:color w:val="000000" w:themeColor="text1"/>
          <w:kern w:val="16"/>
          <w:lang w:val="de-DE" w:eastAsia="en-GB"/>
        </w:rPr>
        <w:t>esen</w:t>
      </w:r>
      <w:r w:rsidR="00E82E4A">
        <w:rPr>
          <w:rFonts w:cs="Arial"/>
          <w:color w:val="000000" w:themeColor="text1"/>
          <w:kern w:val="16"/>
          <w:lang w:val="de-DE" w:eastAsia="en-GB"/>
        </w:rPr>
        <w:t xml:space="preserve"> werden</w:t>
      </w:r>
      <w:r w:rsidRPr="00015E82">
        <w:rPr>
          <w:rFonts w:cs="Arial"/>
          <w:color w:val="000000" w:themeColor="text1"/>
          <w:kern w:val="16"/>
          <w:lang w:val="de-DE" w:eastAsia="en-GB"/>
        </w:rPr>
        <w:t>, dass keine missbräuchlichen Gründe für die Einschaltung einer Holdinggesellschaft vorliegen. In den Richtlinien wurden nunmehr Beispiele für triftige Gründe für die Zwischenschaltung eine</w:t>
      </w:r>
      <w:r w:rsidR="009922DB">
        <w:rPr>
          <w:rFonts w:cs="Arial"/>
          <w:color w:val="000000" w:themeColor="text1"/>
          <w:kern w:val="16"/>
          <w:lang w:val="de-DE" w:eastAsia="en-GB"/>
        </w:rPr>
        <w:t>r</w:t>
      </w:r>
      <w:r w:rsidRPr="00015E82">
        <w:rPr>
          <w:rFonts w:cs="Arial"/>
          <w:color w:val="000000" w:themeColor="text1"/>
          <w:kern w:val="16"/>
          <w:lang w:val="de-DE" w:eastAsia="en-GB"/>
        </w:rPr>
        <w:t xml:space="preserve"> Holdinggesellschaft angeführt: </w:t>
      </w:r>
    </w:p>
    <w:p w14:paraId="27809B64" w14:textId="77777777" w:rsidR="00015E82" w:rsidRPr="00015E82" w:rsidRDefault="00015E82" w:rsidP="00BE79F7">
      <w:pPr>
        <w:pStyle w:val="Listenabsatz"/>
        <w:numPr>
          <w:ilvl w:val="0"/>
          <w:numId w:val="31"/>
        </w:numPr>
        <w:spacing w:after="100" w:afterAutospacing="1" w:line="276" w:lineRule="auto"/>
        <w:contextualSpacing/>
        <w:jc w:val="both"/>
        <w:rPr>
          <w:rFonts w:cs="Arial"/>
        </w:rPr>
      </w:pPr>
      <w:r w:rsidRPr="00015E82">
        <w:rPr>
          <w:rFonts w:cs="Arial"/>
        </w:rPr>
        <w:t xml:space="preserve">Tätigkeit der Holding geht über reine Vermögenverwaltung hinaus, weil sie Funktionen im Konzern (zB Managementleistungen, Konzernfinanzierung, Beteiligungscontrolling, Buchhaltung) erfüllt; </w:t>
      </w:r>
    </w:p>
    <w:p w14:paraId="0BD62313" w14:textId="77777777" w:rsidR="00015E82" w:rsidRPr="00015E82" w:rsidRDefault="00015E82" w:rsidP="00015E82">
      <w:pPr>
        <w:pStyle w:val="Listenabsatz"/>
        <w:numPr>
          <w:ilvl w:val="0"/>
          <w:numId w:val="31"/>
        </w:numPr>
        <w:spacing w:before="100" w:beforeAutospacing="1" w:after="100" w:afterAutospacing="1" w:line="276" w:lineRule="auto"/>
        <w:contextualSpacing/>
        <w:jc w:val="both"/>
        <w:rPr>
          <w:rFonts w:cs="Arial"/>
        </w:rPr>
      </w:pPr>
      <w:r w:rsidRPr="00015E82">
        <w:rPr>
          <w:rFonts w:cs="Arial"/>
        </w:rPr>
        <w:t>Holding bringt nachweislich wirtschaftliche Vorteile im Verhältnis zu Geschäftspartnern (zB aufgrund rechtlicher Restriktionen für ausländische Investoren);</w:t>
      </w:r>
    </w:p>
    <w:p w14:paraId="310C37EA" w14:textId="77777777" w:rsidR="00015E82" w:rsidRPr="00015E82" w:rsidRDefault="00015E82" w:rsidP="00015E82">
      <w:pPr>
        <w:pStyle w:val="Listenabsatz"/>
        <w:numPr>
          <w:ilvl w:val="0"/>
          <w:numId w:val="31"/>
        </w:numPr>
        <w:spacing w:before="100" w:beforeAutospacing="1" w:after="100" w:afterAutospacing="1" w:line="276" w:lineRule="auto"/>
        <w:contextualSpacing/>
        <w:jc w:val="both"/>
        <w:rPr>
          <w:rFonts w:cs="Arial"/>
        </w:rPr>
      </w:pPr>
      <w:r w:rsidRPr="00015E82">
        <w:rPr>
          <w:rFonts w:cs="Arial"/>
        </w:rPr>
        <w:t>Aufsichtsrechtliche oder andere regulatorische Beschränkungen;</w:t>
      </w:r>
    </w:p>
    <w:p w14:paraId="3CC9E5B3" w14:textId="1050CB77" w:rsidR="00015E82" w:rsidRPr="00015E82" w:rsidRDefault="00015E82" w:rsidP="00015E82">
      <w:pPr>
        <w:pStyle w:val="Listenabsatz"/>
        <w:numPr>
          <w:ilvl w:val="0"/>
          <w:numId w:val="31"/>
        </w:numPr>
        <w:spacing w:before="100" w:beforeAutospacing="1" w:after="100" w:afterAutospacing="1" w:line="276" w:lineRule="auto"/>
        <w:contextualSpacing/>
        <w:jc w:val="both"/>
        <w:rPr>
          <w:rFonts w:cs="Arial"/>
          <w:color w:val="000000" w:themeColor="text1"/>
          <w:kern w:val="16"/>
          <w:lang w:eastAsia="en-GB"/>
        </w:rPr>
      </w:pPr>
      <w:r w:rsidRPr="00015E82">
        <w:rPr>
          <w:rFonts w:cs="Arial"/>
        </w:rPr>
        <w:t>Die bessere und sicherere Erreichung des angestrebten wirtschaftlichen Ziels</w:t>
      </w:r>
      <w:r w:rsidR="00BE79F7">
        <w:rPr>
          <w:rFonts w:cs="Arial"/>
        </w:rPr>
        <w:t>.</w:t>
      </w:r>
    </w:p>
    <w:p w14:paraId="6CDADAA2" w14:textId="402969D7" w:rsidR="00644258" w:rsidRDefault="00C76FE1" w:rsidP="003419DD">
      <w:pPr>
        <w:pStyle w:val="berschrift1"/>
        <w:spacing w:line="276" w:lineRule="auto"/>
        <w:ind w:left="426" w:hanging="426"/>
        <w:jc w:val="both"/>
        <w:rPr>
          <w:caps/>
        </w:rPr>
      </w:pPr>
      <w:bookmarkStart w:id="5" w:name="_Toc74736883"/>
      <w:r w:rsidRPr="00644258">
        <w:rPr>
          <w:caps/>
        </w:rPr>
        <w:lastRenderedPageBreak/>
        <w:t xml:space="preserve">Bilanzierung COVID-19 </w:t>
      </w:r>
      <w:r w:rsidR="00644258" w:rsidRPr="00644258">
        <w:rPr>
          <w:caps/>
        </w:rPr>
        <w:t>Hilfsma</w:t>
      </w:r>
      <w:r w:rsidR="00644258">
        <w:rPr>
          <w:caps/>
        </w:rPr>
        <w:t>ss</w:t>
      </w:r>
      <w:r w:rsidR="00644258" w:rsidRPr="00644258">
        <w:rPr>
          <w:caps/>
        </w:rPr>
        <w:t>nahmen</w:t>
      </w:r>
      <w:bookmarkEnd w:id="5"/>
    </w:p>
    <w:p w14:paraId="21C34166" w14:textId="77777777" w:rsidR="000819E9" w:rsidRDefault="000819E9" w:rsidP="00624F73">
      <w:pPr>
        <w:jc w:val="both"/>
        <w:rPr>
          <w:rFonts w:cs="Arial"/>
          <w:lang w:val="de-DE"/>
        </w:rPr>
      </w:pPr>
    </w:p>
    <w:p w14:paraId="572AC577" w14:textId="0E298257" w:rsidR="00624F73" w:rsidRDefault="00624F73" w:rsidP="00C5326D">
      <w:pPr>
        <w:spacing w:line="276" w:lineRule="auto"/>
        <w:jc w:val="both"/>
        <w:rPr>
          <w:rFonts w:cs="Arial"/>
          <w:lang w:val="de-DE"/>
        </w:rPr>
      </w:pPr>
      <w:r>
        <w:rPr>
          <w:rFonts w:cs="Arial"/>
          <w:lang w:val="de-DE"/>
        </w:rPr>
        <w:t>Über die vielfältigen Corona Hilfsmaßnahmen</w:t>
      </w:r>
      <w:r w:rsidR="009922DB">
        <w:rPr>
          <w:rFonts w:cs="Arial"/>
          <w:lang w:val="de-DE"/>
        </w:rPr>
        <w:t xml:space="preserve"> </w:t>
      </w:r>
      <w:r>
        <w:rPr>
          <w:rFonts w:cs="Arial"/>
          <w:lang w:val="de-DE"/>
        </w:rPr>
        <w:t>haben wir bereits berichtet. Nach Beantragung dieser Hilfsmaßnahmen stellt sich nun die Aufgabe, diese Hilfsmaßnahmen richtig in der Bilanz darzustellen. In diesem Zusammenhang hat das AFRAC (Austrian Financial Reporting and Auditing Committee) eine Fachinformation veröffentlicht. Auf Grund der Vielfalt der Corona-Hilfsmaßnahmen beschränken wir uns hier auf den Umsatzersatz, den Ausfallsbonus, den Fixkostenzuschuss, den Verlustersatz, die Investitionsprämie, die Corona-Kurzarbeitshilfe, die COVID-19-Rücklage und den Verlustrücktrag.</w:t>
      </w:r>
    </w:p>
    <w:p w14:paraId="121D708B" w14:textId="77777777" w:rsidR="00624F73" w:rsidRDefault="00624F73" w:rsidP="00624F73">
      <w:pPr>
        <w:jc w:val="both"/>
        <w:rPr>
          <w:rFonts w:cs="Arial"/>
          <w:u w:val="single"/>
          <w:lang w:val="de-DE"/>
        </w:rPr>
      </w:pPr>
    </w:p>
    <w:p w14:paraId="1EE63F79" w14:textId="7D728F98" w:rsidR="00624F73" w:rsidRDefault="00624F73" w:rsidP="00835C0A">
      <w:pPr>
        <w:pStyle w:val="berschrift2"/>
        <w:rPr>
          <w:lang w:val="de-DE"/>
        </w:rPr>
      </w:pPr>
      <w:r w:rsidRPr="0021007B">
        <w:rPr>
          <w:lang w:val="de-DE"/>
        </w:rPr>
        <w:t>Ansatzzeitpunkt</w:t>
      </w:r>
    </w:p>
    <w:p w14:paraId="021DC540" w14:textId="082265A1" w:rsidR="00624F73" w:rsidRDefault="00624F73" w:rsidP="00BE79F7">
      <w:pPr>
        <w:spacing w:line="276" w:lineRule="auto"/>
        <w:jc w:val="both"/>
        <w:rPr>
          <w:rFonts w:cs="Arial"/>
          <w:lang w:val="de-DE"/>
        </w:rPr>
      </w:pPr>
      <w:r>
        <w:rPr>
          <w:rFonts w:cs="Arial"/>
          <w:lang w:val="de-DE"/>
        </w:rPr>
        <w:t xml:space="preserve">Der Ansatzzeitpunkt der COVID-19-Zuschüsse als </w:t>
      </w:r>
      <w:r w:rsidRPr="00D80394">
        <w:rPr>
          <w:rFonts w:cs="Arial"/>
          <w:b/>
          <w:bCs/>
          <w:iCs/>
          <w:lang w:val="de-DE"/>
        </w:rPr>
        <w:t>Forderung</w:t>
      </w:r>
      <w:r>
        <w:rPr>
          <w:rFonts w:cs="Arial"/>
          <w:lang w:val="de-DE"/>
        </w:rPr>
        <w:t xml:space="preserve"> richtet sich nach dem Entstehen des Rechtsanspruchs auf diese. Mit Vorliegen der </w:t>
      </w:r>
      <w:r w:rsidRPr="00820F5A">
        <w:rPr>
          <w:rFonts w:cs="Arial"/>
          <w:lang w:val="de-DE"/>
        </w:rPr>
        <w:t>sachlichen Voraussetzungen für den jeweiligen COVID-19-Zuschuss besteht ein Rechtsanspruch auf diesen.</w:t>
      </w:r>
      <w:r>
        <w:rPr>
          <w:rFonts w:cs="Arial"/>
          <w:lang w:val="de-DE"/>
        </w:rPr>
        <w:t xml:space="preserve"> Zusätzlich muss bis zur Aufstellung des Abschlusses der Förderantrag ordnungsgemäß gestellt worden sein oder mit an Sicherheit grenzender Wahrscheinlichkeit gestellt werden. Eine Bewilligung ist nicht erforderlich. Beihilfen, die zugeflossen sind, der Antragsteller die Voraussetzungen dafür</w:t>
      </w:r>
      <w:r w:rsidR="009922DB">
        <w:rPr>
          <w:rFonts w:cs="Arial"/>
          <w:lang w:val="de-DE"/>
        </w:rPr>
        <w:t xml:space="preserve"> jedoch</w:t>
      </w:r>
      <w:r>
        <w:rPr>
          <w:rFonts w:cs="Arial"/>
          <w:lang w:val="de-DE"/>
        </w:rPr>
        <w:t xml:space="preserve"> nicht erfüllt, müssen als </w:t>
      </w:r>
      <w:r w:rsidRPr="00D80394">
        <w:rPr>
          <w:rFonts w:cs="Arial"/>
          <w:b/>
          <w:bCs/>
          <w:iCs/>
          <w:lang w:val="de-DE"/>
        </w:rPr>
        <w:t>Verbindlichkeiten</w:t>
      </w:r>
      <w:r>
        <w:rPr>
          <w:rFonts w:cs="Arial"/>
          <w:lang w:val="de-DE"/>
        </w:rPr>
        <w:t xml:space="preserve"> (aufgrund der drohenden Rückzahlung) ausgewiesen werden.</w:t>
      </w:r>
    </w:p>
    <w:p w14:paraId="4B24D5E2" w14:textId="2AA196A6" w:rsidR="00624F73" w:rsidRDefault="00624F73" w:rsidP="00BE79F7">
      <w:pPr>
        <w:spacing w:line="276" w:lineRule="auto"/>
        <w:jc w:val="both"/>
        <w:rPr>
          <w:rFonts w:cs="Arial"/>
          <w:lang w:val="de-DE"/>
        </w:rPr>
      </w:pPr>
      <w:r>
        <w:rPr>
          <w:rFonts w:cs="Arial"/>
          <w:lang w:val="de-DE"/>
        </w:rPr>
        <w:t xml:space="preserve">Bei Zuschüssen, die eine individuelle Kombination von Betrachtungszeiträumen </w:t>
      </w:r>
      <w:r w:rsidR="009922DB">
        <w:rPr>
          <w:rFonts w:cs="Arial"/>
          <w:lang w:val="de-DE"/>
        </w:rPr>
        <w:t xml:space="preserve">zulassen </w:t>
      </w:r>
      <w:r>
        <w:rPr>
          <w:rFonts w:cs="Arial"/>
          <w:lang w:val="de-DE"/>
        </w:rPr>
        <w:t>(zB Fixkostenzuschuss oder Verlustersatz), kann es sein, dass einzelne sachliche Voraussetzungen (bestimmter Prozentsatz an Umsatzeinbußen) für die Betrachtungszeiträume bis zum Abschlussstichtag noch nicht vorliegen, diese jedoch insgesamt über den gesamten Betrachtungszeitraum erfüllt werden. Ist die Erfüllung der Voraussetzungen über den gesamten Betrachtungszeitraum so gut wie sicher, so ist eine Forderung in Höhe des auf das Geschäftsjahr entfallenden Teils der Förderung anzusetzen.</w:t>
      </w:r>
    </w:p>
    <w:p w14:paraId="5F2E0A55" w14:textId="78816AF9" w:rsidR="00624F73" w:rsidRDefault="00624F73" w:rsidP="00BE79F7">
      <w:pPr>
        <w:spacing w:line="276" w:lineRule="auto"/>
        <w:jc w:val="both"/>
        <w:rPr>
          <w:rFonts w:cs="Arial"/>
          <w:lang w:val="de-DE"/>
        </w:rPr>
      </w:pPr>
      <w:r>
        <w:rPr>
          <w:rFonts w:cs="Arial"/>
          <w:lang w:val="de-DE"/>
        </w:rPr>
        <w:t>Wurde die gesetzliche Grundlage</w:t>
      </w:r>
      <w:r w:rsidR="007B2D91">
        <w:rPr>
          <w:rFonts w:cs="Arial"/>
          <w:lang w:val="de-DE"/>
        </w:rPr>
        <w:t xml:space="preserve"> für </w:t>
      </w:r>
      <w:r>
        <w:rPr>
          <w:rFonts w:cs="Arial"/>
          <w:lang w:val="de-DE"/>
        </w:rPr>
        <w:t>einen COVID-19-Zuschuss erst nach dem Abschlussstichtag geschaffen, so sind folgende 2 Fallkonstellationen zu unterscheiden:</w:t>
      </w:r>
    </w:p>
    <w:p w14:paraId="044F3773" w14:textId="141D2AE2" w:rsidR="00624F73" w:rsidRDefault="00624F73" w:rsidP="00835C0A">
      <w:pPr>
        <w:pStyle w:val="Listenabsatz"/>
        <w:numPr>
          <w:ilvl w:val="0"/>
          <w:numId w:val="32"/>
        </w:numPr>
        <w:spacing w:after="200" w:line="276" w:lineRule="auto"/>
        <w:jc w:val="both"/>
        <w:rPr>
          <w:rFonts w:cs="Arial"/>
          <w:lang w:val="de-DE"/>
        </w:rPr>
      </w:pPr>
      <w:r w:rsidRPr="00820F5A">
        <w:rPr>
          <w:rFonts w:cs="Arial"/>
          <w:lang w:val="de-DE"/>
        </w:rPr>
        <w:t xml:space="preserve">Wurde die Förderung bereits </w:t>
      </w:r>
      <w:r w:rsidRPr="00820F5A">
        <w:rPr>
          <w:rFonts w:cs="Arial"/>
          <w:u w:val="single"/>
          <w:lang w:val="de-DE"/>
        </w:rPr>
        <w:t>vor dem Abschlussstichtag</w:t>
      </w:r>
      <w:r w:rsidRPr="00820F5A">
        <w:rPr>
          <w:rFonts w:cs="Arial"/>
          <w:lang w:val="de-DE"/>
        </w:rPr>
        <w:t xml:space="preserve"> hinreichend genau angekündigt (inkl </w:t>
      </w:r>
      <w:r w:rsidR="007B2D91">
        <w:rPr>
          <w:rFonts w:cs="Arial"/>
          <w:lang w:val="de-DE"/>
        </w:rPr>
        <w:t xml:space="preserve">der </w:t>
      </w:r>
      <w:r w:rsidRPr="00820F5A">
        <w:rPr>
          <w:rFonts w:cs="Arial"/>
          <w:lang w:val="de-DE"/>
        </w:rPr>
        <w:t>sachlichen Voraussetzungen) und wurde die damit im Zusammenhang stehende gesetzliche Grundlage bis zur Aufstellung des Jahresabschlusses geschaffen, ist es vertretbar, diese Beihilfe bereits im Abschluss zu berücksichtigen (</w:t>
      </w:r>
      <w:r w:rsidRPr="00820F5A">
        <w:rPr>
          <w:rFonts w:cs="Arial"/>
          <w:b/>
          <w:u w:val="single"/>
          <w:lang w:val="de-DE"/>
        </w:rPr>
        <w:t>Wertaufhellung</w:t>
      </w:r>
      <w:r w:rsidRPr="00820F5A">
        <w:rPr>
          <w:rFonts w:cs="Arial"/>
          <w:lang w:val="de-DE"/>
        </w:rPr>
        <w:t xml:space="preserve">). </w:t>
      </w:r>
    </w:p>
    <w:p w14:paraId="6E0EDEB6" w14:textId="1D5D732B" w:rsidR="00624F73" w:rsidRPr="00D80394" w:rsidRDefault="00624F73" w:rsidP="00EB592E">
      <w:pPr>
        <w:pStyle w:val="Listenabsatz"/>
        <w:pBdr>
          <w:top w:val="single" w:sz="4" w:space="1" w:color="auto"/>
          <w:left w:val="single" w:sz="4" w:space="4" w:color="auto"/>
          <w:bottom w:val="single" w:sz="4" w:space="1" w:color="auto"/>
          <w:right w:val="single" w:sz="4" w:space="4" w:color="auto"/>
        </w:pBdr>
        <w:ind w:left="426"/>
        <w:jc w:val="both"/>
        <w:rPr>
          <w:rFonts w:cs="Arial"/>
          <w:i/>
          <w:iCs/>
          <w:lang w:val="de-DE"/>
        </w:rPr>
      </w:pPr>
      <w:r w:rsidRPr="00D80394">
        <w:rPr>
          <w:rFonts w:cs="Arial"/>
          <w:i/>
          <w:iCs/>
          <w:u w:val="single"/>
          <w:lang w:val="de-DE"/>
        </w:rPr>
        <w:t>Beispiel:</w:t>
      </w:r>
      <w:r w:rsidRPr="00D80394">
        <w:rPr>
          <w:rFonts w:cs="Arial"/>
          <w:i/>
          <w:iCs/>
          <w:lang w:val="de-DE"/>
        </w:rPr>
        <w:t xml:space="preserve"> Die Voraussetzungen für die Inanspruchnahme des Verlustersatzes wurden am 20.11.2020 veröffentlicht. Die Veröffentlichung der dazugehörigen Verordnung (gesetzliche Grundlage) erfolgte am 16.2.2021.</w:t>
      </w:r>
      <w:r w:rsidR="007B2D91">
        <w:rPr>
          <w:rFonts w:cs="Arial"/>
          <w:i/>
          <w:iCs/>
          <w:lang w:val="de-DE"/>
        </w:rPr>
        <w:t xml:space="preserve"> </w:t>
      </w:r>
      <w:r>
        <w:rPr>
          <w:rFonts w:cs="Arial"/>
          <w:i/>
          <w:iCs/>
          <w:u w:val="single"/>
          <w:lang w:val="de-DE"/>
        </w:rPr>
        <w:t>Lösung</w:t>
      </w:r>
      <w:r w:rsidRPr="00D80394">
        <w:rPr>
          <w:rFonts w:cs="Arial"/>
          <w:i/>
          <w:iCs/>
          <w:u w:val="single"/>
          <w:lang w:val="de-DE"/>
        </w:rPr>
        <w:t>:</w:t>
      </w:r>
      <w:r w:rsidRPr="00D80394">
        <w:rPr>
          <w:rFonts w:cs="Arial"/>
          <w:i/>
          <w:iCs/>
          <w:lang w:val="de-DE"/>
        </w:rPr>
        <w:t xml:space="preserve"> Ein Ansatz des Verlustersatzes ist in allen Abschlüssen möglich, die einen Abschlussstichtag nach dem 20.11.2020 haben (zB 30.11.2020 oder 31.12.2020), wenn der Jahresabschluss nach dem 16.2.2021 aufgestellt wurde.</w:t>
      </w:r>
    </w:p>
    <w:p w14:paraId="6DC701AA" w14:textId="77777777" w:rsidR="00BE79F7" w:rsidRDefault="00BE79F7" w:rsidP="00835C0A">
      <w:pPr>
        <w:pStyle w:val="Listenabsatz"/>
        <w:spacing w:after="200" w:line="276" w:lineRule="auto"/>
        <w:ind w:left="425"/>
        <w:jc w:val="both"/>
        <w:rPr>
          <w:rFonts w:cs="Arial"/>
          <w:lang w:val="de-DE"/>
        </w:rPr>
      </w:pPr>
    </w:p>
    <w:p w14:paraId="4B82E533" w14:textId="3E02EC01" w:rsidR="00624F73" w:rsidRDefault="00624F73" w:rsidP="00835C0A">
      <w:pPr>
        <w:pStyle w:val="Listenabsatz"/>
        <w:numPr>
          <w:ilvl w:val="0"/>
          <w:numId w:val="32"/>
        </w:numPr>
        <w:spacing w:after="200" w:line="276" w:lineRule="auto"/>
        <w:jc w:val="both"/>
        <w:rPr>
          <w:rFonts w:cs="Arial"/>
          <w:lang w:val="de-DE"/>
        </w:rPr>
      </w:pPr>
      <w:r w:rsidRPr="00664642">
        <w:rPr>
          <w:rFonts w:cs="Arial"/>
          <w:lang w:val="de-DE"/>
        </w:rPr>
        <w:t xml:space="preserve">Erfolgt die Ankündigung und Schaffung der gesetzlichen Grundlage </w:t>
      </w:r>
      <w:r w:rsidRPr="00664642">
        <w:rPr>
          <w:rFonts w:cs="Arial"/>
          <w:u w:val="single"/>
          <w:lang w:val="de-DE"/>
        </w:rPr>
        <w:t>nach dem Abschlussstichtag</w:t>
      </w:r>
      <w:r w:rsidRPr="00664642">
        <w:rPr>
          <w:rFonts w:cs="Arial"/>
          <w:lang w:val="de-DE"/>
        </w:rPr>
        <w:t xml:space="preserve">, so handelt es sich um ein </w:t>
      </w:r>
      <w:r w:rsidRPr="00664642">
        <w:rPr>
          <w:rFonts w:cs="Arial"/>
          <w:b/>
          <w:u w:val="single"/>
          <w:lang w:val="de-DE"/>
        </w:rPr>
        <w:t>wertbegründendes</w:t>
      </w:r>
      <w:r w:rsidRPr="00664642">
        <w:rPr>
          <w:rFonts w:cs="Arial"/>
          <w:u w:val="single"/>
          <w:lang w:val="de-DE"/>
        </w:rPr>
        <w:t xml:space="preserve"> </w:t>
      </w:r>
      <w:r w:rsidRPr="00664642">
        <w:rPr>
          <w:rFonts w:cs="Arial"/>
          <w:b/>
          <w:u w:val="single"/>
          <w:lang w:val="de-DE"/>
        </w:rPr>
        <w:t>Ereignis</w:t>
      </w:r>
      <w:r w:rsidRPr="00664642">
        <w:rPr>
          <w:rFonts w:cs="Arial"/>
          <w:lang w:val="de-DE"/>
        </w:rPr>
        <w:t>, welches nicht im Abschluss dargestellt werden darf (allenfalls ist bei Wesentlichkeit eine Erläuterung im Anhang zulässig).</w:t>
      </w:r>
    </w:p>
    <w:p w14:paraId="779FC3BE" w14:textId="77777777" w:rsidR="00624F73" w:rsidRPr="00DF3079" w:rsidRDefault="00624F73" w:rsidP="00624F73">
      <w:pPr>
        <w:pStyle w:val="Listenabsatz"/>
        <w:pBdr>
          <w:top w:val="single" w:sz="4" w:space="1" w:color="auto"/>
          <w:left w:val="single" w:sz="4" w:space="4" w:color="auto"/>
          <w:bottom w:val="single" w:sz="4" w:space="1" w:color="auto"/>
          <w:right w:val="single" w:sz="4" w:space="4" w:color="auto"/>
        </w:pBdr>
        <w:ind w:left="425"/>
        <w:jc w:val="both"/>
        <w:rPr>
          <w:rFonts w:cs="Arial"/>
          <w:i/>
          <w:iCs/>
          <w:lang w:val="de-DE"/>
        </w:rPr>
      </w:pPr>
      <w:r w:rsidRPr="00DF3079">
        <w:rPr>
          <w:rFonts w:cs="Arial"/>
          <w:i/>
          <w:iCs/>
          <w:u w:val="single"/>
          <w:lang w:val="de-DE"/>
        </w:rPr>
        <w:t>Beispiel:</w:t>
      </w:r>
      <w:r w:rsidRPr="00DF3079">
        <w:rPr>
          <w:rFonts w:cs="Arial"/>
          <w:i/>
          <w:iCs/>
          <w:lang w:val="de-DE"/>
        </w:rPr>
        <w:t xml:space="preserve"> Die Rahmenbedingungen für den Ausfallsbonus wurden am 17.1.2021 veröffentlicht. Die gesetzliche Grundlage wurde mit 16.2.2021 geschaffen (siehe Beispiel oben</w:t>
      </w:r>
      <w:proofErr w:type="gramStart"/>
      <w:r w:rsidRPr="00DF3079">
        <w:rPr>
          <w:rFonts w:cs="Arial"/>
          <w:i/>
          <w:iCs/>
          <w:lang w:val="de-DE"/>
        </w:rPr>
        <w:t>).</w:t>
      </w:r>
      <w:r w:rsidRPr="00DF3079">
        <w:rPr>
          <w:rFonts w:cs="Arial"/>
          <w:i/>
          <w:iCs/>
          <w:u w:val="single"/>
          <w:lang w:val="de-DE"/>
        </w:rPr>
        <w:t>Lösung</w:t>
      </w:r>
      <w:proofErr w:type="gramEnd"/>
      <w:r w:rsidRPr="00DF3079">
        <w:rPr>
          <w:rFonts w:cs="Arial"/>
          <w:i/>
          <w:iCs/>
          <w:u w:val="single"/>
          <w:lang w:val="de-DE"/>
        </w:rPr>
        <w:t>:</w:t>
      </w:r>
      <w:r w:rsidRPr="00DF3079">
        <w:rPr>
          <w:rFonts w:cs="Arial"/>
          <w:i/>
          <w:iCs/>
          <w:lang w:val="de-DE"/>
        </w:rPr>
        <w:t xml:space="preserve"> Der Ausfallsbonus darf daher frühestens in einem Jahresabschluss mit Stichtag nach 17.1.2021 (zB 31.1.2021) bilanziert werden, wenn der Jahresabschluss nach dem 16.2.2021 aufgestellt wurde. Ein Ansatz im Jahresabschluss zum 31.12.2020 ist nicht möglich.</w:t>
      </w:r>
    </w:p>
    <w:p w14:paraId="23CFE244" w14:textId="77777777" w:rsidR="00624F73" w:rsidRDefault="00624F73" w:rsidP="00624F73">
      <w:pPr>
        <w:jc w:val="both"/>
        <w:rPr>
          <w:rFonts w:cs="Arial"/>
          <w:u w:val="single"/>
          <w:lang w:val="de-DE"/>
        </w:rPr>
      </w:pPr>
    </w:p>
    <w:p w14:paraId="472557A5" w14:textId="353DED93" w:rsidR="00624F73" w:rsidRDefault="00624F73" w:rsidP="00835C0A">
      <w:pPr>
        <w:pStyle w:val="berschrift2"/>
        <w:rPr>
          <w:lang w:val="de-DE"/>
        </w:rPr>
      </w:pPr>
      <w:r w:rsidRPr="00126A13">
        <w:rPr>
          <w:lang w:val="de-DE"/>
        </w:rPr>
        <w:t>Bewertung</w:t>
      </w:r>
    </w:p>
    <w:p w14:paraId="7EA02616" w14:textId="1124BC48" w:rsidR="00624F73" w:rsidRDefault="00624F73" w:rsidP="00BE79F7">
      <w:pPr>
        <w:spacing w:line="276" w:lineRule="auto"/>
        <w:jc w:val="both"/>
        <w:rPr>
          <w:rFonts w:cs="Arial"/>
          <w:lang w:val="de-DE"/>
        </w:rPr>
      </w:pPr>
      <w:r>
        <w:rPr>
          <w:rFonts w:cs="Arial"/>
          <w:lang w:val="de-DE"/>
        </w:rPr>
        <w:t xml:space="preserve">Im Jahresabschluss darf nur </w:t>
      </w:r>
      <w:r w:rsidRPr="00D80394">
        <w:rPr>
          <w:rFonts w:cs="Arial"/>
          <w:b/>
          <w:lang w:val="de-DE"/>
        </w:rPr>
        <w:t>maximal jener Betrag</w:t>
      </w:r>
      <w:r w:rsidRPr="00481947">
        <w:rPr>
          <w:rFonts w:cs="Arial"/>
          <w:lang w:val="de-DE"/>
        </w:rPr>
        <w:t xml:space="preserve"> de</w:t>
      </w:r>
      <w:r w:rsidRPr="00950D2D">
        <w:rPr>
          <w:rFonts w:cs="Arial"/>
          <w:lang w:val="de-DE"/>
        </w:rPr>
        <w:t xml:space="preserve">s </w:t>
      </w:r>
      <w:r w:rsidRPr="00095477">
        <w:rPr>
          <w:rFonts w:cs="Arial"/>
          <w:lang w:val="de-DE"/>
        </w:rPr>
        <w:t>Zuschusses</w:t>
      </w:r>
      <w:r w:rsidRPr="00481947">
        <w:rPr>
          <w:rFonts w:cs="Arial"/>
          <w:lang w:val="de-DE"/>
        </w:rPr>
        <w:t xml:space="preserve"> aktiviert werden, für den </w:t>
      </w:r>
      <w:r w:rsidRPr="00D80394">
        <w:rPr>
          <w:rFonts w:cs="Arial"/>
          <w:b/>
          <w:lang w:val="de-DE"/>
        </w:rPr>
        <w:t>bereits</w:t>
      </w:r>
      <w:r w:rsidRPr="00481947">
        <w:rPr>
          <w:rFonts w:cs="Arial"/>
          <w:lang w:val="de-DE"/>
        </w:rPr>
        <w:t xml:space="preserve"> </w:t>
      </w:r>
      <w:r w:rsidRPr="00950D2D">
        <w:rPr>
          <w:rFonts w:cs="Arial"/>
          <w:lang w:val="de-DE"/>
        </w:rPr>
        <w:t xml:space="preserve">die entsprechenden </w:t>
      </w:r>
      <w:r w:rsidRPr="00D80394">
        <w:rPr>
          <w:rFonts w:cs="Arial"/>
          <w:b/>
          <w:lang w:val="de-DE"/>
        </w:rPr>
        <w:t>Aufwendungen im Jahresabschluss erfasst</w:t>
      </w:r>
      <w:r>
        <w:rPr>
          <w:rFonts w:cs="Arial"/>
          <w:lang w:val="de-DE"/>
        </w:rPr>
        <w:t xml:space="preserve"> sind. Bilanziell noch nicht erfasste Teile eines Zuschusses sind gegebenenfalls im Anhang zu erläutern.</w:t>
      </w:r>
    </w:p>
    <w:p w14:paraId="60E20F54" w14:textId="4957C86F" w:rsidR="00624F73" w:rsidRDefault="00624F73" w:rsidP="00BE79F7">
      <w:pPr>
        <w:spacing w:line="276" w:lineRule="auto"/>
        <w:jc w:val="both"/>
        <w:rPr>
          <w:rFonts w:cs="Arial"/>
          <w:lang w:val="de-DE"/>
        </w:rPr>
      </w:pPr>
      <w:r>
        <w:rPr>
          <w:rFonts w:cs="Arial"/>
          <w:lang w:val="de-DE"/>
        </w:rPr>
        <w:lastRenderedPageBreak/>
        <w:t xml:space="preserve">Wurden Forderungen bereits bilanziert und stellt sich heraus, dass der Zuschuss nicht oder nicht in der beantragten Höhe gewährt wird, so ist eine </w:t>
      </w:r>
      <w:r w:rsidRPr="00D80394">
        <w:rPr>
          <w:rFonts w:cs="Arial"/>
          <w:b/>
          <w:bCs/>
          <w:lang w:val="de-DE"/>
        </w:rPr>
        <w:t>Wertberichtigung</w:t>
      </w:r>
      <w:r>
        <w:rPr>
          <w:rFonts w:cs="Arial"/>
          <w:lang w:val="de-DE"/>
        </w:rPr>
        <w:t xml:space="preserve"> der Forderung durchzuführen. Wurde der Zuschuss bereits ausbezahlt und droht die Rückzahlung nach dem Bilanzstichtag, so ist eine </w:t>
      </w:r>
      <w:r w:rsidRPr="00DF3079">
        <w:rPr>
          <w:rFonts w:cs="Arial"/>
          <w:b/>
          <w:lang w:val="de-DE"/>
        </w:rPr>
        <w:t>Rückstellung</w:t>
      </w:r>
      <w:r>
        <w:rPr>
          <w:rFonts w:cs="Arial"/>
          <w:lang w:val="de-DE"/>
        </w:rPr>
        <w:t xml:space="preserve"> zu passivieren. Steht die Rückzahlung bereits fest, so ist stattdessen eine </w:t>
      </w:r>
      <w:r w:rsidRPr="00D80394">
        <w:rPr>
          <w:rFonts w:cs="Arial"/>
          <w:b/>
          <w:bCs/>
          <w:lang w:val="de-DE"/>
        </w:rPr>
        <w:t>Verbindlichkeit</w:t>
      </w:r>
      <w:r>
        <w:rPr>
          <w:rFonts w:cs="Arial"/>
          <w:lang w:val="de-DE"/>
        </w:rPr>
        <w:t xml:space="preserve"> auszuweisen.</w:t>
      </w:r>
    </w:p>
    <w:p w14:paraId="556030D8" w14:textId="03FC4DBE" w:rsidR="00624F73" w:rsidRDefault="00624F73" w:rsidP="00BE79F7">
      <w:pPr>
        <w:spacing w:line="276" w:lineRule="auto"/>
        <w:jc w:val="both"/>
        <w:rPr>
          <w:rFonts w:cs="Arial"/>
          <w:u w:val="single"/>
          <w:lang w:val="de-DE"/>
        </w:rPr>
      </w:pPr>
    </w:p>
    <w:p w14:paraId="013F1BB0" w14:textId="31B00037" w:rsidR="00624F73" w:rsidRDefault="00624F73" w:rsidP="00E616D0">
      <w:pPr>
        <w:pStyle w:val="berschrift2"/>
        <w:rPr>
          <w:lang w:val="de-DE"/>
        </w:rPr>
      </w:pPr>
      <w:r>
        <w:rPr>
          <w:lang w:val="de-DE"/>
        </w:rPr>
        <w:t>Darstellung der COVID-1</w:t>
      </w:r>
      <w:r w:rsidR="00FB76A4">
        <w:rPr>
          <w:lang w:val="de-DE"/>
        </w:rPr>
        <w:t>9</w:t>
      </w:r>
      <w:r>
        <w:rPr>
          <w:lang w:val="de-DE"/>
        </w:rPr>
        <w:t>-Zuschüsse</w:t>
      </w:r>
    </w:p>
    <w:p w14:paraId="663EB232" w14:textId="77777777" w:rsidR="00624F73" w:rsidRDefault="00624F73" w:rsidP="00BE79F7">
      <w:pPr>
        <w:spacing w:line="276" w:lineRule="auto"/>
        <w:jc w:val="both"/>
        <w:rPr>
          <w:rFonts w:cs="Arial"/>
          <w:lang w:val="de-DE"/>
        </w:rPr>
      </w:pPr>
      <w:r>
        <w:rPr>
          <w:rFonts w:cs="Arial"/>
          <w:lang w:val="de-DE"/>
        </w:rPr>
        <w:t>Grundsätzlich ist der Zweck der COVID-19-Zuschüsse</w:t>
      </w:r>
      <w:r w:rsidDel="00481947">
        <w:rPr>
          <w:rFonts w:cs="Arial"/>
          <w:lang w:val="de-DE"/>
        </w:rPr>
        <w:t xml:space="preserve"> </w:t>
      </w:r>
      <w:r>
        <w:rPr>
          <w:rFonts w:cs="Arial"/>
          <w:lang w:val="de-DE"/>
        </w:rPr>
        <w:t xml:space="preserve">für die Darstellung des Zuschusses maßgebend. Dabei wird zwischen </w:t>
      </w:r>
      <w:r w:rsidRPr="00BE79F7">
        <w:rPr>
          <w:rFonts w:cs="Arial"/>
          <w:b/>
          <w:lang w:val="de-DE"/>
        </w:rPr>
        <w:t>Investitions-</w:t>
      </w:r>
      <w:r w:rsidRPr="00BE79F7">
        <w:rPr>
          <w:rFonts w:cs="Arial"/>
          <w:lang w:val="de-DE"/>
        </w:rPr>
        <w:t xml:space="preserve"> und </w:t>
      </w:r>
      <w:r w:rsidRPr="00BE79F7">
        <w:rPr>
          <w:rFonts w:cs="Arial"/>
          <w:b/>
          <w:lang w:val="de-DE"/>
        </w:rPr>
        <w:t>Aufwandszuschüssen</w:t>
      </w:r>
      <w:r w:rsidRPr="001E2FF3">
        <w:rPr>
          <w:rFonts w:cs="Arial"/>
          <w:lang w:val="de-DE"/>
        </w:rPr>
        <w:t xml:space="preserve"> </w:t>
      </w:r>
      <w:r>
        <w:rPr>
          <w:rFonts w:cs="Arial"/>
          <w:lang w:val="de-DE"/>
        </w:rPr>
        <w:t>unterschieden.</w:t>
      </w:r>
    </w:p>
    <w:p w14:paraId="0E471F4E" w14:textId="77777777" w:rsidR="00624F73" w:rsidRDefault="00624F73" w:rsidP="00BE79F7">
      <w:pPr>
        <w:spacing w:line="276" w:lineRule="auto"/>
        <w:jc w:val="both"/>
        <w:rPr>
          <w:rFonts w:cs="Arial"/>
          <w:lang w:val="de-DE"/>
        </w:rPr>
      </w:pPr>
      <w:r w:rsidRPr="001E2FF3">
        <w:rPr>
          <w:rFonts w:cs="Arial"/>
          <w:b/>
          <w:u w:val="single"/>
          <w:lang w:val="de-DE"/>
        </w:rPr>
        <w:t>Investitionszuschüsse</w:t>
      </w:r>
      <w:r>
        <w:rPr>
          <w:rFonts w:cs="Arial"/>
          <w:lang w:val="de-DE"/>
        </w:rPr>
        <w:t xml:space="preserve"> werden zur Förderung von Investitionen gewährt (zB Investitionsprämie). Diese Zuschüsse sind in einem </w:t>
      </w:r>
      <w:r w:rsidRPr="00D80394">
        <w:rPr>
          <w:rFonts w:cs="Arial"/>
          <w:b/>
          <w:bCs/>
          <w:lang w:val="de-DE"/>
        </w:rPr>
        <w:t>gesonderten Passivposten nach dem Eigenkapital</w:t>
      </w:r>
      <w:r>
        <w:rPr>
          <w:rFonts w:cs="Arial"/>
          <w:lang w:val="de-DE"/>
        </w:rPr>
        <w:t xml:space="preserve"> auszuweisen und anteilig analog zur Abschreibung ertragswirksam aufzulösen.</w:t>
      </w:r>
    </w:p>
    <w:p w14:paraId="59889F78" w14:textId="491EC113" w:rsidR="00624F73" w:rsidRDefault="00624F73" w:rsidP="00BE79F7">
      <w:pPr>
        <w:spacing w:line="276" w:lineRule="auto"/>
        <w:jc w:val="both"/>
        <w:rPr>
          <w:rFonts w:cs="Arial"/>
          <w:lang w:val="de-DE"/>
        </w:rPr>
      </w:pPr>
      <w:r w:rsidRPr="001E2FF3">
        <w:rPr>
          <w:rFonts w:cs="Arial"/>
          <w:b/>
          <w:u w:val="single"/>
          <w:lang w:val="de-DE"/>
        </w:rPr>
        <w:t>Aufwandszuschüsse</w:t>
      </w:r>
      <w:r>
        <w:rPr>
          <w:rFonts w:cs="Arial"/>
          <w:lang w:val="de-DE"/>
        </w:rPr>
        <w:t xml:space="preserve"> werden zur Förderung der laufend angefallenen Kosten gewährt und werden entsprechend dem Aufwandsanfall ergebniswirksam sofort erfasst. Die Erfassung kann als </w:t>
      </w:r>
      <w:r w:rsidRPr="00D80394">
        <w:rPr>
          <w:rFonts w:cs="Arial"/>
          <w:b/>
          <w:bCs/>
          <w:lang w:val="de-DE"/>
        </w:rPr>
        <w:t>„übrige sonstige betriebliche Erträge</w:t>
      </w:r>
      <w:r>
        <w:rPr>
          <w:rFonts w:cs="Arial"/>
          <w:lang w:val="de-DE"/>
        </w:rPr>
        <w:t>“ oder als offene Absetzung vom jeweiligen Aufwand (in einer Vorspalte) erfolgen. Eine Kürzung des Aufwands auf Grund des Saldierungsverbots ist nicht zulässig.</w:t>
      </w:r>
    </w:p>
    <w:p w14:paraId="45E04873" w14:textId="77777777" w:rsidR="00BE79F7" w:rsidRDefault="00BE79F7" w:rsidP="00624F73">
      <w:pPr>
        <w:jc w:val="both"/>
        <w:rPr>
          <w:rFonts w:cs="Arial"/>
          <w:lang w:val="de-DE"/>
        </w:rPr>
      </w:pPr>
    </w:p>
    <w:p w14:paraId="695A97E8" w14:textId="60FCBCEB" w:rsidR="00624F73" w:rsidRDefault="00624F73" w:rsidP="00624F73">
      <w:pPr>
        <w:jc w:val="both"/>
        <w:rPr>
          <w:rFonts w:cs="Arial"/>
          <w:lang w:val="de-DE"/>
        </w:rPr>
      </w:pPr>
      <w:r>
        <w:rPr>
          <w:rFonts w:cs="Arial"/>
          <w:lang w:val="de-DE"/>
        </w:rPr>
        <w:t>Die Darstellung der einzelnen COVID-19-Zuschüsse kann wie folgt kurz zusammengefasst werden:</w:t>
      </w:r>
      <w:r w:rsidR="002600C4">
        <w:rPr>
          <w:rFonts w:cs="Arial"/>
          <w:lang w:val="de-DE"/>
        </w:rPr>
        <w:t xml:space="preserve"> </w:t>
      </w:r>
      <w:r w:rsidR="00835C0A">
        <w:rPr>
          <w:rFonts w:cs="Arial"/>
          <w:lang w:val="de-DE"/>
        </w:rPr>
        <w:br/>
      </w:r>
    </w:p>
    <w:tbl>
      <w:tblPr>
        <w:tblStyle w:val="Tabellenraster"/>
        <w:tblW w:w="9214" w:type="dxa"/>
        <w:tblLook w:val="04A0" w:firstRow="1" w:lastRow="0" w:firstColumn="1" w:lastColumn="0" w:noHBand="0" w:noVBand="1"/>
      </w:tblPr>
      <w:tblGrid>
        <w:gridCol w:w="1843"/>
        <w:gridCol w:w="3402"/>
        <w:gridCol w:w="3969"/>
      </w:tblGrid>
      <w:tr w:rsidR="00624F73" w:rsidRPr="00F8412A" w14:paraId="3DD2C36C" w14:textId="77777777" w:rsidTr="004E461D">
        <w:tc>
          <w:tcPr>
            <w:tcW w:w="1843" w:type="dxa"/>
            <w:tcBorders>
              <w:top w:val="nil"/>
              <w:left w:val="nil"/>
              <w:bottom w:val="single" w:sz="12" w:space="0" w:color="auto"/>
              <w:right w:val="single" w:sz="12" w:space="0" w:color="auto"/>
            </w:tcBorders>
          </w:tcPr>
          <w:p w14:paraId="53828CE7" w14:textId="77777777" w:rsidR="00624F73" w:rsidRPr="00F8412A" w:rsidRDefault="00624F73" w:rsidP="00383AF8">
            <w:pPr>
              <w:jc w:val="both"/>
              <w:rPr>
                <w:rFonts w:cs="Arial"/>
                <w:sz w:val="18"/>
                <w:lang w:val="de-DE"/>
              </w:rPr>
            </w:pPr>
          </w:p>
        </w:tc>
        <w:tc>
          <w:tcPr>
            <w:tcW w:w="3402" w:type="dxa"/>
            <w:tcBorders>
              <w:top w:val="single" w:sz="12" w:space="0" w:color="auto"/>
              <w:left w:val="single" w:sz="12" w:space="0" w:color="auto"/>
              <w:bottom w:val="single" w:sz="12" w:space="0" w:color="auto"/>
              <w:right w:val="single" w:sz="4" w:space="0" w:color="auto"/>
            </w:tcBorders>
          </w:tcPr>
          <w:p w14:paraId="526449CA" w14:textId="77777777" w:rsidR="00624F73" w:rsidRPr="00F8412A" w:rsidRDefault="00624F73" w:rsidP="00383AF8">
            <w:pPr>
              <w:jc w:val="center"/>
              <w:rPr>
                <w:rFonts w:cs="Arial"/>
                <w:b/>
                <w:sz w:val="18"/>
                <w:lang w:val="de-DE"/>
              </w:rPr>
            </w:pPr>
            <w:r w:rsidRPr="00F8412A">
              <w:rPr>
                <w:rFonts w:cs="Arial"/>
                <w:b/>
                <w:sz w:val="18"/>
                <w:lang w:val="de-DE"/>
              </w:rPr>
              <w:t xml:space="preserve">Ansatz im Jahresabschluss 2020 </w:t>
            </w:r>
          </w:p>
          <w:p w14:paraId="6C6FBC59" w14:textId="77777777" w:rsidR="00624F73" w:rsidRPr="00F8412A" w:rsidRDefault="00624F73" w:rsidP="00383AF8">
            <w:pPr>
              <w:jc w:val="center"/>
              <w:rPr>
                <w:rFonts w:cs="Arial"/>
                <w:b/>
                <w:sz w:val="18"/>
                <w:lang w:val="de-DE"/>
              </w:rPr>
            </w:pPr>
            <w:r w:rsidRPr="00F8412A">
              <w:rPr>
                <w:rFonts w:cs="Arial"/>
                <w:b/>
                <w:sz w:val="18"/>
                <w:lang w:val="de-DE"/>
              </w:rPr>
              <w:t>(Stichtag 31.12.)</w:t>
            </w:r>
          </w:p>
        </w:tc>
        <w:tc>
          <w:tcPr>
            <w:tcW w:w="3969" w:type="dxa"/>
            <w:tcBorders>
              <w:top w:val="single" w:sz="12" w:space="0" w:color="auto"/>
              <w:left w:val="single" w:sz="4" w:space="0" w:color="auto"/>
              <w:bottom w:val="single" w:sz="12" w:space="0" w:color="auto"/>
              <w:right w:val="single" w:sz="12" w:space="0" w:color="auto"/>
            </w:tcBorders>
          </w:tcPr>
          <w:p w14:paraId="159986BD" w14:textId="77777777" w:rsidR="00624F73" w:rsidRPr="00F8412A" w:rsidRDefault="00624F73" w:rsidP="00383AF8">
            <w:pPr>
              <w:jc w:val="center"/>
              <w:rPr>
                <w:rFonts w:cs="Arial"/>
                <w:b/>
                <w:sz w:val="18"/>
                <w:lang w:val="de-DE"/>
              </w:rPr>
            </w:pPr>
            <w:r w:rsidRPr="00F8412A">
              <w:rPr>
                <w:rFonts w:cs="Arial"/>
                <w:b/>
                <w:sz w:val="18"/>
                <w:lang w:val="de-DE"/>
              </w:rPr>
              <w:t>Darstellung im Abschluss</w:t>
            </w:r>
          </w:p>
        </w:tc>
      </w:tr>
      <w:tr w:rsidR="00624F73" w:rsidRPr="00F8412A" w14:paraId="05DF138D" w14:textId="77777777" w:rsidTr="00FB76A4">
        <w:trPr>
          <w:trHeight w:val="550"/>
        </w:trPr>
        <w:tc>
          <w:tcPr>
            <w:tcW w:w="1843" w:type="dxa"/>
            <w:tcBorders>
              <w:top w:val="single" w:sz="12" w:space="0" w:color="auto"/>
              <w:left w:val="single" w:sz="12" w:space="0" w:color="auto"/>
              <w:bottom w:val="dotted" w:sz="4" w:space="0" w:color="auto"/>
              <w:right w:val="single" w:sz="4" w:space="0" w:color="auto"/>
            </w:tcBorders>
            <w:vAlign w:val="center"/>
          </w:tcPr>
          <w:p w14:paraId="599FDA01" w14:textId="77777777" w:rsidR="00624F73" w:rsidRPr="00F8412A" w:rsidRDefault="00624F73" w:rsidP="00FB76A4">
            <w:pPr>
              <w:rPr>
                <w:rFonts w:cs="Arial"/>
                <w:sz w:val="18"/>
                <w:lang w:val="de-DE"/>
              </w:rPr>
            </w:pPr>
            <w:r w:rsidRPr="00F8412A">
              <w:rPr>
                <w:rFonts w:cs="Arial"/>
                <w:sz w:val="18"/>
                <w:lang w:val="de-DE"/>
              </w:rPr>
              <w:t>Umsatzersatz I</w:t>
            </w:r>
          </w:p>
        </w:tc>
        <w:tc>
          <w:tcPr>
            <w:tcW w:w="3402" w:type="dxa"/>
            <w:tcBorders>
              <w:top w:val="single" w:sz="12" w:space="0" w:color="auto"/>
              <w:left w:val="single" w:sz="4" w:space="0" w:color="auto"/>
              <w:bottom w:val="dotted" w:sz="4" w:space="0" w:color="auto"/>
              <w:right w:val="dotted" w:sz="4" w:space="0" w:color="auto"/>
            </w:tcBorders>
            <w:vAlign w:val="center"/>
          </w:tcPr>
          <w:p w14:paraId="647B350C" w14:textId="283C6E16" w:rsidR="00624F73" w:rsidRPr="00F8412A" w:rsidRDefault="00835C0A" w:rsidP="00383AF8">
            <w:pPr>
              <w:jc w:val="center"/>
              <w:rPr>
                <w:rFonts w:cs="Arial"/>
                <w:sz w:val="18"/>
                <w:lang w:val="de-DE"/>
              </w:rPr>
            </w:pPr>
            <w:r>
              <w:rPr>
                <w:rFonts w:cs="Arial"/>
                <w:sz w:val="18"/>
                <w:lang w:val="de-DE"/>
              </w:rPr>
              <w:t>j</w:t>
            </w:r>
            <w:r w:rsidR="00624F73" w:rsidRPr="00F8412A">
              <w:rPr>
                <w:rFonts w:cs="Arial"/>
                <w:sz w:val="18"/>
                <w:lang w:val="de-DE"/>
              </w:rPr>
              <w:t>a</w:t>
            </w:r>
          </w:p>
        </w:tc>
        <w:tc>
          <w:tcPr>
            <w:tcW w:w="3969" w:type="dxa"/>
            <w:vMerge w:val="restart"/>
            <w:tcBorders>
              <w:top w:val="single" w:sz="12" w:space="0" w:color="auto"/>
              <w:left w:val="dotted" w:sz="4" w:space="0" w:color="auto"/>
              <w:bottom w:val="dotted" w:sz="4" w:space="0" w:color="auto"/>
              <w:right w:val="single" w:sz="12" w:space="0" w:color="auto"/>
            </w:tcBorders>
            <w:vAlign w:val="center"/>
          </w:tcPr>
          <w:p w14:paraId="65AF01A5" w14:textId="77777777" w:rsidR="00624F73" w:rsidRPr="00F8412A" w:rsidRDefault="00624F73" w:rsidP="00383AF8">
            <w:pPr>
              <w:jc w:val="center"/>
              <w:rPr>
                <w:rFonts w:cs="Arial"/>
                <w:sz w:val="18"/>
                <w:lang w:val="de-DE"/>
              </w:rPr>
            </w:pPr>
            <w:r w:rsidRPr="00F8412A">
              <w:rPr>
                <w:rFonts w:cs="Arial"/>
                <w:sz w:val="18"/>
                <w:lang w:val="de-DE"/>
              </w:rPr>
              <w:t>„übrige sonstige betriebliche Erträge“</w:t>
            </w:r>
          </w:p>
        </w:tc>
      </w:tr>
      <w:tr w:rsidR="00624F73" w:rsidRPr="00F8412A" w14:paraId="5EBDB531" w14:textId="77777777" w:rsidTr="00FB76A4">
        <w:trPr>
          <w:trHeight w:val="564"/>
        </w:trPr>
        <w:tc>
          <w:tcPr>
            <w:tcW w:w="1843" w:type="dxa"/>
            <w:tcBorders>
              <w:top w:val="dotted" w:sz="4" w:space="0" w:color="auto"/>
              <w:left w:val="single" w:sz="12" w:space="0" w:color="auto"/>
              <w:bottom w:val="dotted" w:sz="4" w:space="0" w:color="auto"/>
              <w:right w:val="single" w:sz="4" w:space="0" w:color="auto"/>
            </w:tcBorders>
            <w:vAlign w:val="center"/>
          </w:tcPr>
          <w:p w14:paraId="59FDBE52" w14:textId="77777777" w:rsidR="00624F73" w:rsidRPr="00F8412A" w:rsidRDefault="00624F73" w:rsidP="00FB76A4">
            <w:pPr>
              <w:rPr>
                <w:rFonts w:cs="Arial"/>
                <w:sz w:val="18"/>
                <w:lang w:val="de-DE"/>
              </w:rPr>
            </w:pPr>
            <w:r w:rsidRPr="00F8412A">
              <w:rPr>
                <w:rFonts w:cs="Arial"/>
                <w:sz w:val="18"/>
                <w:lang w:val="de-DE"/>
              </w:rPr>
              <w:t>Umsatzersatz II</w:t>
            </w:r>
          </w:p>
        </w:tc>
        <w:tc>
          <w:tcPr>
            <w:tcW w:w="3402" w:type="dxa"/>
            <w:tcBorders>
              <w:top w:val="dotted" w:sz="4" w:space="0" w:color="auto"/>
              <w:left w:val="single" w:sz="4" w:space="0" w:color="auto"/>
              <w:bottom w:val="dotted" w:sz="4" w:space="0" w:color="auto"/>
              <w:right w:val="dotted" w:sz="4" w:space="0" w:color="auto"/>
            </w:tcBorders>
            <w:vAlign w:val="center"/>
          </w:tcPr>
          <w:p w14:paraId="767B2F2B" w14:textId="17D76842" w:rsidR="00624F73" w:rsidRPr="00F8412A" w:rsidRDefault="00835C0A" w:rsidP="00383AF8">
            <w:pPr>
              <w:jc w:val="center"/>
              <w:rPr>
                <w:rFonts w:cs="Arial"/>
                <w:sz w:val="18"/>
                <w:lang w:val="de-DE"/>
              </w:rPr>
            </w:pPr>
            <w:r>
              <w:rPr>
                <w:rFonts w:cs="Arial"/>
                <w:sz w:val="18"/>
                <w:lang w:val="de-DE"/>
              </w:rPr>
              <w:t>j</w:t>
            </w:r>
            <w:r w:rsidR="00624F73" w:rsidRPr="00F8412A">
              <w:rPr>
                <w:rFonts w:cs="Arial"/>
                <w:sz w:val="18"/>
                <w:lang w:val="de-DE"/>
              </w:rPr>
              <w:t>a, bei Aufstellung nach dem 16.2.2021</w:t>
            </w:r>
          </w:p>
        </w:tc>
        <w:tc>
          <w:tcPr>
            <w:tcW w:w="3969" w:type="dxa"/>
            <w:vMerge/>
            <w:tcBorders>
              <w:top w:val="dotted" w:sz="4" w:space="0" w:color="auto"/>
              <w:left w:val="dotted" w:sz="4" w:space="0" w:color="auto"/>
              <w:bottom w:val="dotted" w:sz="4" w:space="0" w:color="auto"/>
              <w:right w:val="single" w:sz="12" w:space="0" w:color="auto"/>
            </w:tcBorders>
            <w:vAlign w:val="center"/>
          </w:tcPr>
          <w:p w14:paraId="6ECD8D96" w14:textId="77777777" w:rsidR="00624F73" w:rsidRPr="00F8412A" w:rsidRDefault="00624F73" w:rsidP="00383AF8">
            <w:pPr>
              <w:jc w:val="center"/>
              <w:rPr>
                <w:rFonts w:cs="Arial"/>
                <w:sz w:val="18"/>
                <w:lang w:val="de-DE"/>
              </w:rPr>
            </w:pPr>
          </w:p>
        </w:tc>
      </w:tr>
      <w:tr w:rsidR="00624F73" w:rsidRPr="00F8412A" w14:paraId="539DC4AD" w14:textId="77777777" w:rsidTr="004E461D">
        <w:trPr>
          <w:trHeight w:val="504"/>
        </w:trPr>
        <w:tc>
          <w:tcPr>
            <w:tcW w:w="1843" w:type="dxa"/>
            <w:tcBorders>
              <w:top w:val="dotted" w:sz="4" w:space="0" w:color="auto"/>
              <w:left w:val="single" w:sz="12" w:space="0" w:color="auto"/>
              <w:bottom w:val="dotted" w:sz="4" w:space="0" w:color="auto"/>
              <w:right w:val="single" w:sz="4" w:space="0" w:color="auto"/>
            </w:tcBorders>
            <w:vAlign w:val="center"/>
          </w:tcPr>
          <w:p w14:paraId="2EDD02D3" w14:textId="77777777" w:rsidR="00624F73" w:rsidRPr="00F8412A" w:rsidRDefault="00624F73" w:rsidP="00FB76A4">
            <w:pPr>
              <w:rPr>
                <w:rFonts w:cs="Arial"/>
                <w:sz w:val="18"/>
                <w:lang w:val="de-DE"/>
              </w:rPr>
            </w:pPr>
            <w:r w:rsidRPr="00F8412A">
              <w:rPr>
                <w:rFonts w:cs="Arial"/>
                <w:sz w:val="18"/>
                <w:lang w:val="de-DE"/>
              </w:rPr>
              <w:t>FKZ I</w:t>
            </w:r>
          </w:p>
        </w:tc>
        <w:tc>
          <w:tcPr>
            <w:tcW w:w="3402" w:type="dxa"/>
            <w:tcBorders>
              <w:top w:val="dotted" w:sz="4" w:space="0" w:color="auto"/>
              <w:left w:val="single" w:sz="4" w:space="0" w:color="auto"/>
              <w:bottom w:val="dotted" w:sz="4" w:space="0" w:color="auto"/>
              <w:right w:val="dotted" w:sz="4" w:space="0" w:color="auto"/>
            </w:tcBorders>
            <w:vAlign w:val="center"/>
          </w:tcPr>
          <w:p w14:paraId="6FC23350" w14:textId="43A926F0" w:rsidR="00624F73" w:rsidRPr="00F8412A" w:rsidRDefault="00835C0A" w:rsidP="00835C0A">
            <w:pPr>
              <w:jc w:val="center"/>
              <w:rPr>
                <w:rFonts w:cs="Arial"/>
                <w:sz w:val="18"/>
                <w:lang w:val="de-DE"/>
              </w:rPr>
            </w:pPr>
            <w:r>
              <w:rPr>
                <w:rFonts w:cs="Arial"/>
                <w:sz w:val="18"/>
                <w:lang w:val="de-DE"/>
              </w:rPr>
              <w:t>j</w:t>
            </w:r>
            <w:r w:rsidR="00624F73" w:rsidRPr="00F8412A">
              <w:rPr>
                <w:rFonts w:cs="Arial"/>
                <w:sz w:val="18"/>
                <w:lang w:val="de-DE"/>
              </w:rPr>
              <w:t>a</w:t>
            </w:r>
          </w:p>
        </w:tc>
        <w:tc>
          <w:tcPr>
            <w:tcW w:w="3969" w:type="dxa"/>
            <w:vMerge w:val="restart"/>
            <w:tcBorders>
              <w:top w:val="dotted" w:sz="4" w:space="0" w:color="auto"/>
              <w:left w:val="dotted" w:sz="4" w:space="0" w:color="auto"/>
              <w:bottom w:val="dotted" w:sz="4" w:space="0" w:color="auto"/>
              <w:right w:val="single" w:sz="12" w:space="0" w:color="auto"/>
            </w:tcBorders>
            <w:vAlign w:val="center"/>
          </w:tcPr>
          <w:p w14:paraId="08377C07" w14:textId="77777777" w:rsidR="00624F73" w:rsidRPr="00F8412A" w:rsidRDefault="00624F73" w:rsidP="00383AF8">
            <w:pPr>
              <w:jc w:val="center"/>
              <w:rPr>
                <w:rFonts w:cs="Arial"/>
                <w:sz w:val="18"/>
                <w:lang w:val="de-DE"/>
              </w:rPr>
            </w:pPr>
            <w:r w:rsidRPr="00F8412A">
              <w:rPr>
                <w:rFonts w:cs="Arial"/>
                <w:sz w:val="18"/>
                <w:lang w:val="de-DE"/>
              </w:rPr>
              <w:t>„übrige sonstige betriebliche Erträge“ oder offene Absetzung vom jeweiligen Aufwand (als Vorspalte)</w:t>
            </w:r>
          </w:p>
        </w:tc>
      </w:tr>
      <w:tr w:rsidR="00624F73" w:rsidRPr="00F8412A" w14:paraId="52CB6F9E" w14:textId="77777777" w:rsidTr="00FB76A4">
        <w:trPr>
          <w:trHeight w:val="489"/>
        </w:trPr>
        <w:tc>
          <w:tcPr>
            <w:tcW w:w="1843" w:type="dxa"/>
            <w:tcBorders>
              <w:top w:val="dotted" w:sz="4" w:space="0" w:color="auto"/>
              <w:left w:val="single" w:sz="12" w:space="0" w:color="auto"/>
              <w:bottom w:val="dotted" w:sz="4" w:space="0" w:color="auto"/>
              <w:right w:val="single" w:sz="4" w:space="0" w:color="auto"/>
            </w:tcBorders>
            <w:vAlign w:val="center"/>
          </w:tcPr>
          <w:p w14:paraId="668EFA29" w14:textId="6D1A3045" w:rsidR="00FB76A4" w:rsidRPr="00F8412A" w:rsidRDefault="00624F73" w:rsidP="00FB76A4">
            <w:pPr>
              <w:rPr>
                <w:rFonts w:cs="Arial"/>
                <w:sz w:val="18"/>
                <w:lang w:val="de-DE"/>
              </w:rPr>
            </w:pPr>
            <w:r w:rsidRPr="00F8412A">
              <w:rPr>
                <w:rFonts w:cs="Arial"/>
                <w:sz w:val="18"/>
                <w:lang w:val="de-DE"/>
              </w:rPr>
              <w:t>FKZ 800.000</w:t>
            </w:r>
          </w:p>
        </w:tc>
        <w:tc>
          <w:tcPr>
            <w:tcW w:w="3402" w:type="dxa"/>
            <w:tcBorders>
              <w:top w:val="dotted" w:sz="4" w:space="0" w:color="auto"/>
              <w:left w:val="single" w:sz="4" w:space="0" w:color="auto"/>
              <w:bottom w:val="dotted" w:sz="4" w:space="0" w:color="auto"/>
              <w:right w:val="dotted" w:sz="4" w:space="0" w:color="auto"/>
            </w:tcBorders>
            <w:vAlign w:val="center"/>
          </w:tcPr>
          <w:p w14:paraId="161FE484" w14:textId="261E45DF" w:rsidR="00624F73" w:rsidRPr="00F8412A" w:rsidRDefault="00835C0A" w:rsidP="00383AF8">
            <w:pPr>
              <w:jc w:val="center"/>
              <w:rPr>
                <w:rFonts w:cs="Arial"/>
                <w:sz w:val="18"/>
                <w:lang w:val="de-DE"/>
              </w:rPr>
            </w:pPr>
            <w:r>
              <w:rPr>
                <w:rFonts w:cs="Arial"/>
                <w:sz w:val="18"/>
                <w:lang w:val="de-DE"/>
              </w:rPr>
              <w:t>j</w:t>
            </w:r>
            <w:r w:rsidR="00624F73" w:rsidRPr="00F8412A">
              <w:rPr>
                <w:rFonts w:cs="Arial"/>
                <w:sz w:val="18"/>
                <w:lang w:val="de-DE"/>
              </w:rPr>
              <w:t>a</w:t>
            </w:r>
          </w:p>
        </w:tc>
        <w:tc>
          <w:tcPr>
            <w:tcW w:w="3969" w:type="dxa"/>
            <w:vMerge/>
            <w:tcBorders>
              <w:top w:val="dotted" w:sz="4" w:space="0" w:color="auto"/>
              <w:left w:val="dotted" w:sz="4" w:space="0" w:color="auto"/>
              <w:bottom w:val="dotted" w:sz="4" w:space="0" w:color="auto"/>
              <w:right w:val="single" w:sz="12" w:space="0" w:color="auto"/>
            </w:tcBorders>
            <w:vAlign w:val="center"/>
          </w:tcPr>
          <w:p w14:paraId="608E6BD3" w14:textId="77777777" w:rsidR="00624F73" w:rsidRPr="00F8412A" w:rsidRDefault="00624F73" w:rsidP="00383AF8">
            <w:pPr>
              <w:jc w:val="center"/>
              <w:rPr>
                <w:rFonts w:cs="Arial"/>
                <w:sz w:val="18"/>
                <w:lang w:val="de-DE"/>
              </w:rPr>
            </w:pPr>
          </w:p>
        </w:tc>
      </w:tr>
      <w:tr w:rsidR="00624F73" w:rsidRPr="00F8412A" w14:paraId="5D995361" w14:textId="77777777" w:rsidTr="00E616D0">
        <w:trPr>
          <w:trHeight w:val="533"/>
        </w:trPr>
        <w:tc>
          <w:tcPr>
            <w:tcW w:w="1843" w:type="dxa"/>
            <w:tcBorders>
              <w:top w:val="dotted" w:sz="4" w:space="0" w:color="auto"/>
              <w:left w:val="single" w:sz="12" w:space="0" w:color="auto"/>
              <w:bottom w:val="dotted" w:sz="4" w:space="0" w:color="auto"/>
              <w:right w:val="single" w:sz="4" w:space="0" w:color="auto"/>
            </w:tcBorders>
            <w:vAlign w:val="center"/>
          </w:tcPr>
          <w:p w14:paraId="6185E4CD" w14:textId="76F0A0A9" w:rsidR="00FB76A4" w:rsidRPr="00F8412A" w:rsidRDefault="00624F73" w:rsidP="00FB76A4">
            <w:pPr>
              <w:rPr>
                <w:rFonts w:cs="Arial"/>
                <w:sz w:val="18"/>
                <w:lang w:val="de-DE"/>
              </w:rPr>
            </w:pPr>
            <w:r w:rsidRPr="00F8412A">
              <w:rPr>
                <w:rFonts w:cs="Arial"/>
                <w:sz w:val="18"/>
                <w:lang w:val="de-DE"/>
              </w:rPr>
              <w:t>Verlustersatz</w:t>
            </w:r>
          </w:p>
        </w:tc>
        <w:tc>
          <w:tcPr>
            <w:tcW w:w="3402" w:type="dxa"/>
            <w:tcBorders>
              <w:top w:val="dotted" w:sz="4" w:space="0" w:color="auto"/>
              <w:left w:val="single" w:sz="4" w:space="0" w:color="auto"/>
              <w:bottom w:val="dotted" w:sz="4" w:space="0" w:color="auto"/>
              <w:right w:val="dotted" w:sz="4" w:space="0" w:color="auto"/>
            </w:tcBorders>
            <w:vAlign w:val="center"/>
          </w:tcPr>
          <w:p w14:paraId="68A77598" w14:textId="1A4DC36E" w:rsidR="00624F73" w:rsidRPr="00F8412A" w:rsidRDefault="00835C0A" w:rsidP="00383AF8">
            <w:pPr>
              <w:jc w:val="center"/>
              <w:rPr>
                <w:rFonts w:cs="Arial"/>
                <w:sz w:val="18"/>
                <w:lang w:val="de-DE"/>
              </w:rPr>
            </w:pPr>
            <w:r>
              <w:rPr>
                <w:rFonts w:cs="Arial"/>
                <w:sz w:val="18"/>
                <w:lang w:val="de-DE"/>
              </w:rPr>
              <w:t>j</w:t>
            </w:r>
            <w:r w:rsidR="00624F73" w:rsidRPr="00F8412A">
              <w:rPr>
                <w:rFonts w:cs="Arial"/>
                <w:sz w:val="18"/>
                <w:lang w:val="de-DE"/>
              </w:rPr>
              <w:t>a</w:t>
            </w:r>
          </w:p>
        </w:tc>
        <w:tc>
          <w:tcPr>
            <w:tcW w:w="3969" w:type="dxa"/>
            <w:tcBorders>
              <w:top w:val="dotted" w:sz="4" w:space="0" w:color="auto"/>
              <w:left w:val="dotted" w:sz="4" w:space="0" w:color="auto"/>
              <w:bottom w:val="dotted" w:sz="4" w:space="0" w:color="auto"/>
              <w:right w:val="single" w:sz="12" w:space="0" w:color="auto"/>
            </w:tcBorders>
            <w:vAlign w:val="center"/>
          </w:tcPr>
          <w:p w14:paraId="7B574259" w14:textId="77777777" w:rsidR="00624F73" w:rsidRPr="00F8412A" w:rsidRDefault="00624F73" w:rsidP="00383AF8">
            <w:pPr>
              <w:jc w:val="center"/>
              <w:rPr>
                <w:rFonts w:cs="Arial"/>
                <w:sz w:val="18"/>
                <w:lang w:val="de-DE"/>
              </w:rPr>
            </w:pPr>
            <w:r w:rsidRPr="00F8412A">
              <w:rPr>
                <w:rFonts w:cs="Arial"/>
                <w:sz w:val="18"/>
                <w:lang w:val="de-DE"/>
              </w:rPr>
              <w:t>„übrige sonstige betriebliche Erträge“</w:t>
            </w:r>
          </w:p>
        </w:tc>
      </w:tr>
      <w:tr w:rsidR="00624F73" w:rsidRPr="00F8412A" w14:paraId="66B275C5" w14:textId="77777777" w:rsidTr="004E461D">
        <w:tc>
          <w:tcPr>
            <w:tcW w:w="1843" w:type="dxa"/>
            <w:tcBorders>
              <w:top w:val="dotted" w:sz="4" w:space="0" w:color="auto"/>
              <w:left w:val="single" w:sz="12" w:space="0" w:color="auto"/>
              <w:bottom w:val="dotted" w:sz="4" w:space="0" w:color="auto"/>
              <w:right w:val="single" w:sz="4" w:space="0" w:color="auto"/>
            </w:tcBorders>
            <w:vAlign w:val="center"/>
          </w:tcPr>
          <w:p w14:paraId="5E20A49A" w14:textId="77777777" w:rsidR="00624F73" w:rsidRPr="00F8412A" w:rsidRDefault="00624F73" w:rsidP="00FB76A4">
            <w:pPr>
              <w:rPr>
                <w:rFonts w:cs="Arial"/>
                <w:sz w:val="18"/>
                <w:lang w:val="de-DE"/>
              </w:rPr>
            </w:pPr>
            <w:r w:rsidRPr="00F8412A">
              <w:rPr>
                <w:rFonts w:cs="Arial"/>
                <w:sz w:val="18"/>
                <w:lang w:val="de-DE"/>
              </w:rPr>
              <w:t>Investitionsprämie</w:t>
            </w:r>
          </w:p>
        </w:tc>
        <w:tc>
          <w:tcPr>
            <w:tcW w:w="3402" w:type="dxa"/>
            <w:tcBorders>
              <w:top w:val="dotted" w:sz="4" w:space="0" w:color="auto"/>
              <w:left w:val="single" w:sz="4" w:space="0" w:color="auto"/>
              <w:bottom w:val="dotted" w:sz="4" w:space="0" w:color="auto"/>
              <w:right w:val="dotted" w:sz="4" w:space="0" w:color="auto"/>
            </w:tcBorders>
            <w:vAlign w:val="center"/>
          </w:tcPr>
          <w:p w14:paraId="25578528" w14:textId="5A37A002" w:rsidR="00624F73" w:rsidRPr="00F8412A" w:rsidRDefault="00835C0A" w:rsidP="00383AF8">
            <w:pPr>
              <w:jc w:val="center"/>
              <w:rPr>
                <w:rFonts w:cs="Arial"/>
                <w:sz w:val="18"/>
                <w:lang w:val="de-DE"/>
              </w:rPr>
            </w:pPr>
            <w:r>
              <w:rPr>
                <w:rFonts w:cs="Arial"/>
                <w:sz w:val="18"/>
                <w:lang w:val="de-DE"/>
              </w:rPr>
              <w:t>j</w:t>
            </w:r>
            <w:r w:rsidR="00624F73" w:rsidRPr="00F8412A">
              <w:rPr>
                <w:rFonts w:cs="Arial"/>
                <w:sz w:val="18"/>
                <w:lang w:val="de-DE"/>
              </w:rPr>
              <w:t>a</w:t>
            </w:r>
          </w:p>
        </w:tc>
        <w:tc>
          <w:tcPr>
            <w:tcW w:w="3969" w:type="dxa"/>
            <w:tcBorders>
              <w:top w:val="dotted" w:sz="4" w:space="0" w:color="auto"/>
              <w:left w:val="dotted" w:sz="4" w:space="0" w:color="auto"/>
              <w:bottom w:val="dotted" w:sz="4" w:space="0" w:color="auto"/>
              <w:right w:val="single" w:sz="12" w:space="0" w:color="auto"/>
            </w:tcBorders>
            <w:vAlign w:val="center"/>
          </w:tcPr>
          <w:p w14:paraId="299C27E0" w14:textId="77777777" w:rsidR="00624F73" w:rsidRPr="00F8412A" w:rsidRDefault="00624F73" w:rsidP="00383AF8">
            <w:pPr>
              <w:jc w:val="center"/>
              <w:rPr>
                <w:rFonts w:cs="Arial"/>
                <w:sz w:val="18"/>
                <w:lang w:val="de-DE"/>
              </w:rPr>
            </w:pPr>
            <w:r w:rsidRPr="00F8412A">
              <w:rPr>
                <w:rFonts w:cs="Arial"/>
                <w:sz w:val="18"/>
                <w:lang w:val="de-DE"/>
              </w:rPr>
              <w:t>gesonderter Passivposten nach dem Eigenkapital mit offenem Korrekturposten zu den Abschreibungen</w:t>
            </w:r>
          </w:p>
        </w:tc>
      </w:tr>
      <w:tr w:rsidR="00624F73" w:rsidRPr="00F8412A" w14:paraId="26E4CBE7" w14:textId="77777777" w:rsidTr="00FB76A4">
        <w:trPr>
          <w:trHeight w:val="496"/>
        </w:trPr>
        <w:tc>
          <w:tcPr>
            <w:tcW w:w="1843" w:type="dxa"/>
            <w:tcBorders>
              <w:top w:val="dotted" w:sz="4" w:space="0" w:color="auto"/>
              <w:left w:val="single" w:sz="12" w:space="0" w:color="auto"/>
              <w:bottom w:val="dotted" w:sz="4" w:space="0" w:color="auto"/>
              <w:right w:val="single" w:sz="4" w:space="0" w:color="auto"/>
            </w:tcBorders>
            <w:vAlign w:val="center"/>
          </w:tcPr>
          <w:p w14:paraId="675CE5A6" w14:textId="77777777" w:rsidR="00624F73" w:rsidRPr="00F8412A" w:rsidRDefault="00624F73" w:rsidP="00FB76A4">
            <w:pPr>
              <w:rPr>
                <w:rFonts w:cs="Arial"/>
                <w:sz w:val="18"/>
                <w:lang w:val="de-DE"/>
              </w:rPr>
            </w:pPr>
            <w:r w:rsidRPr="00F8412A">
              <w:rPr>
                <w:rFonts w:cs="Arial"/>
                <w:sz w:val="18"/>
                <w:lang w:val="de-DE"/>
              </w:rPr>
              <w:t>Corona-Kurzarbeit</w:t>
            </w:r>
          </w:p>
        </w:tc>
        <w:tc>
          <w:tcPr>
            <w:tcW w:w="3402" w:type="dxa"/>
            <w:tcBorders>
              <w:top w:val="dotted" w:sz="4" w:space="0" w:color="auto"/>
              <w:left w:val="single" w:sz="4" w:space="0" w:color="auto"/>
              <w:bottom w:val="dotted" w:sz="4" w:space="0" w:color="auto"/>
              <w:right w:val="dotted" w:sz="4" w:space="0" w:color="auto"/>
            </w:tcBorders>
            <w:vAlign w:val="center"/>
          </w:tcPr>
          <w:p w14:paraId="71E2FE66" w14:textId="2C119B0D" w:rsidR="00624F73" w:rsidRPr="00F8412A" w:rsidRDefault="00835C0A" w:rsidP="00383AF8">
            <w:pPr>
              <w:jc w:val="center"/>
              <w:rPr>
                <w:rFonts w:cs="Arial"/>
                <w:sz w:val="18"/>
                <w:lang w:val="de-DE"/>
              </w:rPr>
            </w:pPr>
            <w:r>
              <w:rPr>
                <w:rFonts w:cs="Arial"/>
                <w:sz w:val="18"/>
                <w:lang w:val="de-DE"/>
              </w:rPr>
              <w:t>j</w:t>
            </w:r>
            <w:r w:rsidR="00624F73" w:rsidRPr="00F8412A">
              <w:rPr>
                <w:rFonts w:cs="Arial"/>
                <w:sz w:val="18"/>
                <w:lang w:val="de-DE"/>
              </w:rPr>
              <w:t>a</w:t>
            </w:r>
          </w:p>
        </w:tc>
        <w:tc>
          <w:tcPr>
            <w:tcW w:w="3969" w:type="dxa"/>
            <w:tcBorders>
              <w:top w:val="dotted" w:sz="4" w:space="0" w:color="auto"/>
              <w:left w:val="dotted" w:sz="4" w:space="0" w:color="auto"/>
              <w:bottom w:val="dotted" w:sz="4" w:space="0" w:color="auto"/>
              <w:right w:val="single" w:sz="12" w:space="0" w:color="auto"/>
            </w:tcBorders>
            <w:vAlign w:val="center"/>
          </w:tcPr>
          <w:p w14:paraId="2C467AE1" w14:textId="77777777" w:rsidR="00624F73" w:rsidRPr="00F8412A" w:rsidRDefault="00624F73" w:rsidP="00383AF8">
            <w:pPr>
              <w:jc w:val="center"/>
              <w:rPr>
                <w:rFonts w:cs="Arial"/>
                <w:sz w:val="18"/>
                <w:lang w:val="de-DE"/>
              </w:rPr>
            </w:pPr>
            <w:r w:rsidRPr="00F8412A">
              <w:rPr>
                <w:rFonts w:cs="Arial"/>
                <w:sz w:val="18"/>
                <w:lang w:val="de-DE"/>
              </w:rPr>
              <w:t>„übrige sonstige betriebliche Erträge“</w:t>
            </w:r>
          </w:p>
        </w:tc>
      </w:tr>
      <w:tr w:rsidR="00624F73" w:rsidRPr="00F8412A" w14:paraId="66B8CDEC" w14:textId="77777777" w:rsidTr="00E616D0">
        <w:trPr>
          <w:trHeight w:val="414"/>
        </w:trPr>
        <w:tc>
          <w:tcPr>
            <w:tcW w:w="1843" w:type="dxa"/>
            <w:vMerge w:val="restart"/>
            <w:tcBorders>
              <w:top w:val="dotted" w:sz="4" w:space="0" w:color="auto"/>
              <w:left w:val="single" w:sz="12" w:space="0" w:color="auto"/>
              <w:right w:val="single" w:sz="4" w:space="0" w:color="auto"/>
            </w:tcBorders>
            <w:vAlign w:val="center"/>
          </w:tcPr>
          <w:p w14:paraId="326F1F4E" w14:textId="77777777" w:rsidR="00624F73" w:rsidRPr="00F8412A" w:rsidRDefault="00624F73" w:rsidP="00FB76A4">
            <w:pPr>
              <w:rPr>
                <w:rFonts w:cs="Arial"/>
                <w:sz w:val="18"/>
                <w:lang w:val="de-DE"/>
              </w:rPr>
            </w:pPr>
            <w:r w:rsidRPr="00F8412A">
              <w:rPr>
                <w:rFonts w:cs="Arial"/>
                <w:sz w:val="18"/>
                <w:lang w:val="de-DE"/>
              </w:rPr>
              <w:t>Ausfallsbonus</w:t>
            </w:r>
          </w:p>
        </w:tc>
        <w:tc>
          <w:tcPr>
            <w:tcW w:w="3402" w:type="dxa"/>
            <w:tcBorders>
              <w:top w:val="dotted" w:sz="4" w:space="0" w:color="auto"/>
              <w:left w:val="single" w:sz="4" w:space="0" w:color="auto"/>
              <w:bottom w:val="dotted" w:sz="4" w:space="0" w:color="auto"/>
              <w:right w:val="dotted" w:sz="4" w:space="0" w:color="auto"/>
            </w:tcBorders>
            <w:vAlign w:val="center"/>
          </w:tcPr>
          <w:p w14:paraId="6C10CAA0" w14:textId="46DDF770" w:rsidR="00624F73" w:rsidRPr="00F8412A" w:rsidRDefault="00835C0A" w:rsidP="00383AF8">
            <w:pPr>
              <w:jc w:val="center"/>
              <w:rPr>
                <w:rFonts w:cs="Arial"/>
                <w:sz w:val="18"/>
                <w:lang w:val="de-DE"/>
              </w:rPr>
            </w:pPr>
            <w:r>
              <w:rPr>
                <w:rFonts w:cs="Arial"/>
                <w:sz w:val="18"/>
                <w:lang w:val="de-DE"/>
              </w:rPr>
              <w:t>n</w:t>
            </w:r>
            <w:r w:rsidR="00624F73" w:rsidRPr="00F8412A">
              <w:rPr>
                <w:rFonts w:cs="Arial"/>
                <w:sz w:val="18"/>
                <w:lang w:val="de-DE"/>
              </w:rPr>
              <w:t>ein</w:t>
            </w:r>
          </w:p>
        </w:tc>
        <w:tc>
          <w:tcPr>
            <w:tcW w:w="3969" w:type="dxa"/>
            <w:tcBorders>
              <w:top w:val="dotted" w:sz="4" w:space="0" w:color="auto"/>
              <w:left w:val="dotted" w:sz="4" w:space="0" w:color="auto"/>
              <w:bottom w:val="dotted" w:sz="4" w:space="0" w:color="auto"/>
              <w:right w:val="single" w:sz="12" w:space="0" w:color="auto"/>
            </w:tcBorders>
            <w:vAlign w:val="center"/>
          </w:tcPr>
          <w:p w14:paraId="5B3A4D6A" w14:textId="77777777" w:rsidR="00624F73" w:rsidRPr="00F8412A" w:rsidRDefault="00624F73" w:rsidP="00383AF8">
            <w:pPr>
              <w:jc w:val="center"/>
              <w:rPr>
                <w:rFonts w:cs="Arial"/>
                <w:sz w:val="18"/>
                <w:lang w:val="de-DE"/>
              </w:rPr>
            </w:pPr>
            <w:r w:rsidRPr="00F8412A">
              <w:rPr>
                <w:rFonts w:cs="Arial"/>
                <w:sz w:val="18"/>
                <w:lang w:val="de-DE"/>
              </w:rPr>
              <w:t>keine Darstellung im Jahresabschluss zum 31.12.2020</w:t>
            </w:r>
          </w:p>
        </w:tc>
      </w:tr>
      <w:tr w:rsidR="00624F73" w:rsidRPr="00F8412A" w14:paraId="7BCB1C63" w14:textId="77777777" w:rsidTr="004E461D">
        <w:tc>
          <w:tcPr>
            <w:tcW w:w="1843" w:type="dxa"/>
            <w:vMerge/>
            <w:tcBorders>
              <w:left w:val="single" w:sz="12" w:space="0" w:color="auto"/>
              <w:bottom w:val="single" w:sz="12" w:space="0" w:color="auto"/>
              <w:right w:val="single" w:sz="4" w:space="0" w:color="auto"/>
            </w:tcBorders>
            <w:vAlign w:val="center"/>
          </w:tcPr>
          <w:p w14:paraId="5AC0BE95" w14:textId="77777777" w:rsidR="00624F73" w:rsidRPr="00F8412A" w:rsidRDefault="00624F73" w:rsidP="00383AF8">
            <w:pPr>
              <w:jc w:val="center"/>
              <w:rPr>
                <w:rFonts w:cs="Arial"/>
                <w:sz w:val="18"/>
                <w:lang w:val="de-DE"/>
              </w:rPr>
            </w:pPr>
          </w:p>
        </w:tc>
        <w:tc>
          <w:tcPr>
            <w:tcW w:w="3402" w:type="dxa"/>
            <w:tcBorders>
              <w:top w:val="dotted" w:sz="4" w:space="0" w:color="auto"/>
              <w:left w:val="single" w:sz="4" w:space="0" w:color="auto"/>
              <w:bottom w:val="single" w:sz="12" w:space="0" w:color="auto"/>
              <w:right w:val="dotted" w:sz="4" w:space="0" w:color="auto"/>
            </w:tcBorders>
            <w:vAlign w:val="center"/>
          </w:tcPr>
          <w:p w14:paraId="2F5C50E4" w14:textId="77777777" w:rsidR="00624F73" w:rsidRPr="00F8412A" w:rsidRDefault="00624F73" w:rsidP="00383AF8">
            <w:pPr>
              <w:jc w:val="center"/>
              <w:rPr>
                <w:rFonts w:cs="Arial"/>
                <w:sz w:val="18"/>
                <w:lang w:val="de-DE"/>
              </w:rPr>
            </w:pPr>
            <w:r w:rsidRPr="00F8412A">
              <w:rPr>
                <w:rFonts w:cs="Arial"/>
                <w:sz w:val="18"/>
                <w:lang w:val="de-DE"/>
              </w:rPr>
              <w:t>ab 2021 zulässig</w:t>
            </w:r>
          </w:p>
        </w:tc>
        <w:tc>
          <w:tcPr>
            <w:tcW w:w="3969" w:type="dxa"/>
            <w:tcBorders>
              <w:top w:val="dotted" w:sz="4" w:space="0" w:color="auto"/>
              <w:left w:val="dotted" w:sz="4" w:space="0" w:color="auto"/>
              <w:bottom w:val="single" w:sz="12" w:space="0" w:color="auto"/>
              <w:right w:val="single" w:sz="12" w:space="0" w:color="auto"/>
            </w:tcBorders>
            <w:vAlign w:val="center"/>
          </w:tcPr>
          <w:p w14:paraId="039810DA" w14:textId="77777777" w:rsidR="00624F73" w:rsidRPr="00F8412A" w:rsidRDefault="00624F73" w:rsidP="00383AF8">
            <w:pPr>
              <w:jc w:val="center"/>
              <w:rPr>
                <w:rFonts w:cs="Arial"/>
                <w:sz w:val="18"/>
                <w:lang w:val="de-DE"/>
              </w:rPr>
            </w:pPr>
            <w:r w:rsidRPr="00F8412A">
              <w:rPr>
                <w:rFonts w:cs="Arial"/>
                <w:sz w:val="18"/>
                <w:lang w:val="de-DE"/>
              </w:rPr>
              <w:t xml:space="preserve">„übrige sonstige betriebliche Erträge“ oder offene Absetzung vom jeweiligen Aufwand (Vorspalte) – </w:t>
            </w:r>
            <w:r w:rsidRPr="00F8412A">
              <w:rPr>
                <w:rFonts w:cs="Arial"/>
                <w:sz w:val="18"/>
                <w:u w:val="single"/>
                <w:lang w:val="de-DE"/>
              </w:rPr>
              <w:t>nur</w:t>
            </w:r>
            <w:r w:rsidRPr="00F8412A">
              <w:rPr>
                <w:rFonts w:cs="Arial"/>
                <w:sz w:val="18"/>
                <w:lang w:val="de-DE"/>
              </w:rPr>
              <w:t xml:space="preserve"> für den Vorschussteil zulässig</w:t>
            </w:r>
          </w:p>
        </w:tc>
      </w:tr>
    </w:tbl>
    <w:p w14:paraId="3A0CEDB6" w14:textId="77777777" w:rsidR="00624F73" w:rsidRDefault="00624F73" w:rsidP="00624F73">
      <w:pPr>
        <w:jc w:val="both"/>
        <w:rPr>
          <w:rFonts w:cs="Arial"/>
          <w:lang w:val="de-DE"/>
        </w:rPr>
      </w:pPr>
    </w:p>
    <w:p w14:paraId="1D0840C0" w14:textId="77777777" w:rsidR="00624F73" w:rsidRDefault="00624F73" w:rsidP="004C58DD">
      <w:pPr>
        <w:pStyle w:val="berschrift2"/>
        <w:rPr>
          <w:lang w:val="de-DE"/>
        </w:rPr>
      </w:pPr>
      <w:r w:rsidRPr="00CE4440">
        <w:rPr>
          <w:lang w:val="de-DE"/>
        </w:rPr>
        <w:t>Verlustrücktrag und COVID-19-Rücklage</w:t>
      </w:r>
    </w:p>
    <w:p w14:paraId="60A8D339" w14:textId="21469B88" w:rsidR="00624F73" w:rsidRDefault="00624F73" w:rsidP="00BE79F7">
      <w:pPr>
        <w:spacing w:line="276" w:lineRule="auto"/>
        <w:jc w:val="both"/>
        <w:rPr>
          <w:rFonts w:cs="Arial"/>
          <w:lang w:val="de-DE"/>
        </w:rPr>
      </w:pPr>
      <w:r>
        <w:rPr>
          <w:rFonts w:cs="Arial"/>
          <w:lang w:val="de-DE"/>
        </w:rPr>
        <w:t xml:space="preserve">Die Bestimmungen zur </w:t>
      </w:r>
      <w:r w:rsidRPr="00D80394">
        <w:rPr>
          <w:rFonts w:cs="Arial"/>
          <w:b/>
          <w:bCs/>
          <w:lang w:val="de-DE"/>
        </w:rPr>
        <w:t xml:space="preserve">COVID-19-Rücklage sowie </w:t>
      </w:r>
      <w:r>
        <w:rPr>
          <w:rFonts w:cs="Arial"/>
          <w:b/>
          <w:bCs/>
          <w:lang w:val="de-DE"/>
        </w:rPr>
        <w:t xml:space="preserve">zum </w:t>
      </w:r>
      <w:r w:rsidRPr="00D80394">
        <w:rPr>
          <w:rFonts w:cs="Arial"/>
          <w:b/>
          <w:bCs/>
          <w:lang w:val="de-DE"/>
        </w:rPr>
        <w:t>Verlustrücktrag</w:t>
      </w:r>
      <w:r>
        <w:rPr>
          <w:rFonts w:cs="Arial"/>
          <w:lang w:val="de-DE"/>
        </w:rPr>
        <w:t xml:space="preserve"> wurden am 22.6.2020 veröffentlicht. Der frühestmögliche Zeitpunkt für eine Berücksichtigung wäre der Bilanzstichtag 30.6.2020. </w:t>
      </w:r>
    </w:p>
    <w:p w14:paraId="47BC2ADE" w14:textId="2CC96708" w:rsidR="00624F73" w:rsidRPr="00CE4440" w:rsidRDefault="00624F73" w:rsidP="00BE79F7">
      <w:pPr>
        <w:spacing w:line="276" w:lineRule="auto"/>
        <w:jc w:val="both"/>
        <w:rPr>
          <w:rFonts w:cs="Arial"/>
          <w:lang w:val="de-DE"/>
        </w:rPr>
      </w:pPr>
      <w:r>
        <w:rPr>
          <w:rFonts w:cs="Arial"/>
          <w:lang w:val="de-DE"/>
        </w:rPr>
        <w:t xml:space="preserve">Wird ein Verlust aus dem Jahr 2020 in das Jahr 2019 rückgetragen oder eine COVID-19-Rücklage gebildet, so muss im Jahresabschluss 2020 ein Steuererstattungsanspruch als </w:t>
      </w:r>
      <w:r w:rsidRPr="00D80394">
        <w:rPr>
          <w:rFonts w:cs="Arial"/>
          <w:b/>
          <w:bCs/>
          <w:iCs/>
          <w:lang w:val="de-DE"/>
        </w:rPr>
        <w:t>Forderung</w:t>
      </w:r>
      <w:r>
        <w:rPr>
          <w:rFonts w:cs="Arial"/>
          <w:lang w:val="de-DE"/>
        </w:rPr>
        <w:t xml:space="preserve"> gegenüber dem Finanzamt angesetzt werden, wenn die sachlichen Voraussetzungen im Zeitpunkt der Aufstellung vorliegen und der jeweilige Antrag gestellt worden ist oder wird.</w:t>
      </w:r>
    </w:p>
    <w:p w14:paraId="772AD1C6" w14:textId="77777777" w:rsidR="00624F73" w:rsidRPr="00624F73" w:rsidRDefault="00624F73" w:rsidP="00BE79F7">
      <w:pPr>
        <w:spacing w:line="276" w:lineRule="auto"/>
        <w:rPr>
          <w:lang w:val="de-DE"/>
        </w:rPr>
      </w:pPr>
    </w:p>
    <w:p w14:paraId="000041DB" w14:textId="77777777" w:rsidR="00624F73" w:rsidRPr="00624F73" w:rsidRDefault="00624F73" w:rsidP="00624F73">
      <w:pPr>
        <w:rPr>
          <w:lang w:val="de-DE"/>
        </w:rPr>
      </w:pPr>
    </w:p>
    <w:p w14:paraId="3D223C9F" w14:textId="48C6A17F" w:rsidR="00C76FE1" w:rsidRPr="00C76FE1" w:rsidRDefault="00C76FE1" w:rsidP="00C76FE1">
      <w:pPr>
        <w:pStyle w:val="berschrift1"/>
        <w:spacing w:line="276" w:lineRule="auto"/>
        <w:ind w:left="426" w:hanging="426"/>
        <w:rPr>
          <w:caps/>
        </w:rPr>
      </w:pPr>
      <w:bookmarkStart w:id="6" w:name="_Toc74736884"/>
      <w:r w:rsidRPr="00C76FE1">
        <w:rPr>
          <w:caps/>
        </w:rPr>
        <w:lastRenderedPageBreak/>
        <w:t>Aktuelles aus ARB</w:t>
      </w:r>
      <w:r w:rsidR="00AB3DA9">
        <w:rPr>
          <w:caps/>
        </w:rPr>
        <w:t>E</w:t>
      </w:r>
      <w:r w:rsidRPr="00C76FE1">
        <w:rPr>
          <w:caps/>
        </w:rPr>
        <w:t>ITSRECHT UND Sozialversicherung</w:t>
      </w:r>
      <w:bookmarkEnd w:id="6"/>
    </w:p>
    <w:p w14:paraId="12D2346D" w14:textId="60386C3A" w:rsidR="00C76FE1" w:rsidRDefault="003419DD" w:rsidP="00015E82">
      <w:pPr>
        <w:pStyle w:val="berschrift2"/>
        <w:spacing w:line="276" w:lineRule="auto"/>
        <w:jc w:val="both"/>
      </w:pPr>
      <w:r>
        <w:t>Aufwandsentschädigungen für COVID-19-Helfer abgabefrei</w:t>
      </w:r>
    </w:p>
    <w:p w14:paraId="2DE393B9" w14:textId="45826157" w:rsidR="00153495" w:rsidRDefault="00153495" w:rsidP="00015E82">
      <w:pPr>
        <w:spacing w:line="276" w:lineRule="auto"/>
        <w:jc w:val="both"/>
      </w:pPr>
      <w:r>
        <w:t xml:space="preserve">Für die zahlreichen Helfer </w:t>
      </w:r>
      <w:r w:rsidR="00347C00">
        <w:t>bei den bevölkerungsweiten Testungen und Impfaktionen</w:t>
      </w:r>
      <w:r>
        <w:t xml:space="preserve"> wurde</w:t>
      </w:r>
      <w:r w:rsidR="003419DD">
        <w:t>n</w:t>
      </w:r>
      <w:r>
        <w:t xml:space="preserve"> nun die </w:t>
      </w:r>
      <w:r w:rsidR="00B0739B">
        <w:t xml:space="preserve">Regelungen </w:t>
      </w:r>
      <w:r w:rsidR="006C0004">
        <w:t>über</w:t>
      </w:r>
      <w:r w:rsidR="00B0739B">
        <w:t xml:space="preserve"> deren </w:t>
      </w:r>
      <w:r>
        <w:t>Aufwandsentschädigung</w:t>
      </w:r>
      <w:r w:rsidR="00B0739B">
        <w:t xml:space="preserve">en in der aktuellen Fassung </w:t>
      </w:r>
      <w:r w:rsidR="003419DD">
        <w:t xml:space="preserve">vom 8.6.2021 </w:t>
      </w:r>
      <w:r w:rsidR="00B0739B">
        <w:t xml:space="preserve">des Zweckzuschussgesetzes </w:t>
      </w:r>
      <w:r w:rsidR="006C0004">
        <w:t>einheitlich geregelt und ausgeweitet.</w:t>
      </w:r>
    </w:p>
    <w:p w14:paraId="2E7D972A" w14:textId="77777777" w:rsidR="003419DD" w:rsidRDefault="003419DD" w:rsidP="00015E82">
      <w:pPr>
        <w:spacing w:line="276" w:lineRule="auto"/>
        <w:jc w:val="both"/>
      </w:pPr>
    </w:p>
    <w:p w14:paraId="4FC7136C" w14:textId="1050985C" w:rsidR="00C76FE1" w:rsidRDefault="003419DD" w:rsidP="00015E82">
      <w:pPr>
        <w:spacing w:line="276" w:lineRule="auto"/>
        <w:jc w:val="both"/>
      </w:pPr>
      <w:r w:rsidRPr="003419DD">
        <w:rPr>
          <w:b/>
          <w:bCs/>
        </w:rPr>
        <w:t>Aufwandsentschädigungen</w:t>
      </w:r>
      <w:r>
        <w:t xml:space="preserve">, die von den Ländern und Gemeinden an </w:t>
      </w:r>
      <w:r w:rsidRPr="00A06AED">
        <w:rPr>
          <w:b/>
          <w:bCs/>
        </w:rPr>
        <w:t>nicht hauptberuflich tätige unterstützende Personen</w:t>
      </w:r>
      <w:r>
        <w:t xml:space="preserve"> gewährt werden, sind im Ausmaß von </w:t>
      </w:r>
      <w:r w:rsidRPr="00A06AED">
        <w:t>bis zu</w:t>
      </w:r>
      <w:r w:rsidRPr="009A0CE2">
        <w:rPr>
          <w:b/>
          <w:bCs/>
        </w:rPr>
        <w:t xml:space="preserve"> € 20 je Stunde für medizinisch geschultes Personal</w:t>
      </w:r>
      <w:r>
        <w:t xml:space="preserve"> und von bis zu </w:t>
      </w:r>
      <w:r w:rsidRPr="003419DD">
        <w:rPr>
          <w:b/>
          <w:bCs/>
        </w:rPr>
        <w:t>€ 10 je Stunde für sonstige unterstützende Personen</w:t>
      </w:r>
      <w:r>
        <w:t xml:space="preserve"> von allen bundesgesetzlichen Abgaben befreit.</w:t>
      </w:r>
      <w:r w:rsidR="00C12F84">
        <w:t xml:space="preserve"> </w:t>
      </w:r>
      <w:r>
        <w:t xml:space="preserve">Bis zu </w:t>
      </w:r>
      <w:r w:rsidR="009A0CE2">
        <w:t xml:space="preserve">einem </w:t>
      </w:r>
      <w:r>
        <w:t>monat</w:t>
      </w:r>
      <w:r w:rsidR="009A0CE2">
        <w:t>l</w:t>
      </w:r>
      <w:r>
        <w:t>ich</w:t>
      </w:r>
      <w:r w:rsidR="009A0CE2">
        <w:t xml:space="preserve">en Betrag von </w:t>
      </w:r>
      <w:r>
        <w:t>€</w:t>
      </w:r>
      <w:r w:rsidR="009A0CE2">
        <w:t xml:space="preserve"> </w:t>
      </w:r>
      <w:r>
        <w:t xml:space="preserve">1.000,48 </w:t>
      </w:r>
      <w:r w:rsidR="009A0CE2">
        <w:t xml:space="preserve">entfällt die SV-Pflicht. </w:t>
      </w:r>
      <w:r w:rsidR="00015E82">
        <w:t xml:space="preserve">Die </w:t>
      </w:r>
      <w:r w:rsidR="009A0CE2">
        <w:t>Empfänger der Aufwandsentschädigungen sind unfallversichert.</w:t>
      </w:r>
    </w:p>
    <w:p w14:paraId="2ADFB73E" w14:textId="75F6AB01" w:rsidR="009A0CE2" w:rsidRDefault="009A0CE2" w:rsidP="00015E82">
      <w:pPr>
        <w:spacing w:line="276" w:lineRule="auto"/>
        <w:jc w:val="both"/>
      </w:pPr>
    </w:p>
    <w:p w14:paraId="1C24FDF5" w14:textId="35DD32BA" w:rsidR="00B326EC" w:rsidRDefault="0002466F" w:rsidP="00015E82">
      <w:pPr>
        <w:spacing w:line="276" w:lineRule="auto"/>
        <w:jc w:val="both"/>
      </w:pPr>
      <w:r>
        <w:t>In den dazu veröffentlichten FAQ</w:t>
      </w:r>
      <w:r w:rsidR="0070068F">
        <w:t xml:space="preserve"> </w:t>
      </w:r>
      <w:r w:rsidR="00015E82">
        <w:t>des BMF</w:t>
      </w:r>
      <w:r>
        <w:t xml:space="preserve"> wird klargestellt, dass diese Aufwandsentschädigungen </w:t>
      </w:r>
      <w:r w:rsidR="00B326EC" w:rsidRPr="00B326EC">
        <w:rPr>
          <w:b/>
          <w:bCs/>
        </w:rPr>
        <w:t>umsatzsteuerlich</w:t>
      </w:r>
      <w:r>
        <w:t xml:space="preserve"> in Anlehnung an die Sonderregelungen für COVID-19-</w:t>
      </w:r>
      <w:r w:rsidR="00DD68EB">
        <w:t xml:space="preserve">in vitro </w:t>
      </w:r>
      <w:r>
        <w:t xml:space="preserve">Diagnostika und Impfstoffe </w:t>
      </w:r>
      <w:r w:rsidRPr="00B326EC">
        <w:rPr>
          <w:b/>
          <w:bCs/>
        </w:rPr>
        <w:t>echt steuerbefreit</w:t>
      </w:r>
      <w:r>
        <w:t xml:space="preserve"> s</w:t>
      </w:r>
      <w:r w:rsidR="00B326EC">
        <w:t>in</w:t>
      </w:r>
      <w:r>
        <w:t>d</w:t>
      </w:r>
      <w:r w:rsidR="00B326EC">
        <w:t xml:space="preserve"> (</w:t>
      </w:r>
      <w:r w:rsidR="00DD68EB">
        <w:t xml:space="preserve">ein </w:t>
      </w:r>
      <w:r w:rsidR="00B326EC">
        <w:t>Verzicht ist möglich).</w:t>
      </w:r>
    </w:p>
    <w:p w14:paraId="3A5DDEAB" w14:textId="28F67E48" w:rsidR="00B326EC" w:rsidRDefault="00B326EC" w:rsidP="00015E82">
      <w:pPr>
        <w:spacing w:line="276" w:lineRule="auto"/>
        <w:jc w:val="both"/>
      </w:pPr>
      <w:r>
        <w:t>In d</w:t>
      </w:r>
      <w:r w:rsidR="00BD08B7">
        <w:t>er</w:t>
      </w:r>
      <w:r w:rsidR="0070068F">
        <w:t xml:space="preserve"> </w:t>
      </w:r>
      <w:r>
        <w:t>Einkommensteuer</w:t>
      </w:r>
      <w:r w:rsidR="0070068F">
        <w:t>erklärung</w:t>
      </w:r>
      <w:r>
        <w:t xml:space="preserve"> </w:t>
      </w:r>
      <w:r w:rsidR="00062321">
        <w:t xml:space="preserve">sind </w:t>
      </w:r>
      <w:r w:rsidR="00DD68EB" w:rsidRPr="00DD68EB">
        <w:rPr>
          <w:b/>
          <w:bCs/>
        </w:rPr>
        <w:t>nur jene</w:t>
      </w:r>
      <w:r w:rsidR="00062321">
        <w:rPr>
          <w:b/>
          <w:bCs/>
        </w:rPr>
        <w:t xml:space="preserve"> Einnahmen</w:t>
      </w:r>
      <w:r w:rsidR="00DD68EB">
        <w:t>, d</w:t>
      </w:r>
      <w:r w:rsidR="00062321">
        <w:t>ie</w:t>
      </w:r>
      <w:r w:rsidR="00DD68EB">
        <w:t xml:space="preserve"> </w:t>
      </w:r>
      <w:r>
        <w:t>die als Aufwandsentschädigung anerkannten Stundensätze von € 20 bzw € 10 übersteig</w:t>
      </w:r>
      <w:r w:rsidR="00062321">
        <w:t>en</w:t>
      </w:r>
      <w:r w:rsidR="00DD68EB">
        <w:t xml:space="preserve">, </w:t>
      </w:r>
      <w:r w:rsidR="00062321">
        <w:t xml:space="preserve">als gewerbliche oder selbstständige Einkünfte zu erfassen (außer der Veranlagungsfreibetrag von </w:t>
      </w:r>
      <w:r w:rsidR="00D176AF">
        <w:t xml:space="preserve">€ </w:t>
      </w:r>
      <w:r w:rsidR="00062321">
        <w:t xml:space="preserve">730 wird nicht überschritten oder das gesamte Einkommen beträgt nicht mehr als € 11.000). </w:t>
      </w:r>
      <w:r w:rsidR="00DD68EB">
        <w:t>Es erfolgt kein Lohnsteuerabzug.</w:t>
      </w:r>
      <w:r w:rsidR="00C12F84">
        <w:t xml:space="preserve"> </w:t>
      </w:r>
      <w:r w:rsidR="00062321">
        <w:t xml:space="preserve">Will man die </w:t>
      </w:r>
      <w:r w:rsidR="0067582B" w:rsidRPr="0067582B">
        <w:rPr>
          <w:b/>
          <w:bCs/>
        </w:rPr>
        <w:t>Kleinunternehmerpauschalierung</w:t>
      </w:r>
      <w:r w:rsidR="0067582B">
        <w:t xml:space="preserve"> </w:t>
      </w:r>
      <w:r w:rsidR="00062321">
        <w:t xml:space="preserve">in Anspruch nehmen, sind </w:t>
      </w:r>
      <w:r w:rsidR="005B379D">
        <w:t xml:space="preserve">grundsätzlich </w:t>
      </w:r>
      <w:r w:rsidR="00062321">
        <w:t>die gesamten Aufwandsentschädigungen (</w:t>
      </w:r>
      <w:r w:rsidR="0067582B">
        <w:t xml:space="preserve">inklusive des </w:t>
      </w:r>
      <w:r w:rsidR="00062321">
        <w:t>einkommen</w:t>
      </w:r>
      <w:r w:rsidR="0067582B">
        <w:t>steuerfreien Teils</w:t>
      </w:r>
      <w:r w:rsidR="00062321">
        <w:t xml:space="preserve">) </w:t>
      </w:r>
      <w:r w:rsidR="00015E82">
        <w:t xml:space="preserve">bei der Beurteilung, ob die Umsatzgrenze </w:t>
      </w:r>
      <w:r w:rsidR="00062321">
        <w:t xml:space="preserve">von € 35.000 </w:t>
      </w:r>
      <w:r w:rsidR="00015E82">
        <w:t xml:space="preserve">überschritten wurde, </w:t>
      </w:r>
      <w:r w:rsidR="0067582B">
        <w:t>mit zu berücksichtigen</w:t>
      </w:r>
      <w:r w:rsidR="005B379D">
        <w:t>.</w:t>
      </w:r>
      <w:r w:rsidR="0067582B">
        <w:t xml:space="preserve"> </w:t>
      </w:r>
      <w:r w:rsidR="005B379D">
        <w:t xml:space="preserve">Für die einkommensteuerpflichtigen Teile können dann bei der Kleinunternehmerpauschalierung die Betriebsausgaben mit dem Pauschalsatz von 20% für Dienstleistungen (Branchenkennzahl 869) angesetzt werden. Bei Inanspruchnahme der Basispauschalierung iHv 12% sind die gleichen Grundsätze anzuwenden. </w:t>
      </w:r>
    </w:p>
    <w:p w14:paraId="261E5D86" w14:textId="77777777" w:rsidR="009A0CE2" w:rsidRPr="00C76FE1" w:rsidRDefault="009A0CE2" w:rsidP="00015E82">
      <w:pPr>
        <w:spacing w:line="276" w:lineRule="auto"/>
        <w:jc w:val="both"/>
      </w:pPr>
    </w:p>
    <w:p w14:paraId="4F37D6A5" w14:textId="3C37A99F" w:rsidR="00C76FE1" w:rsidRPr="00CA49D7" w:rsidRDefault="003419DD" w:rsidP="001F03CE">
      <w:pPr>
        <w:pStyle w:val="berschrift2"/>
        <w:rPr>
          <w:lang w:val="de-DE"/>
        </w:rPr>
      </w:pPr>
      <w:r>
        <w:rPr>
          <w:lang w:val="de-DE"/>
        </w:rPr>
        <w:t>Weiteres</w:t>
      </w:r>
      <w:r w:rsidR="00C76FE1">
        <w:rPr>
          <w:lang w:val="de-DE"/>
        </w:rPr>
        <w:t xml:space="preserve"> Corona-Kurzarbeitsmodell (Phase 5) geplant</w:t>
      </w:r>
    </w:p>
    <w:p w14:paraId="2C326530" w14:textId="01EFE789" w:rsidR="00C76FE1" w:rsidRDefault="00C76FE1" w:rsidP="00360B7F">
      <w:pPr>
        <w:spacing w:line="276" w:lineRule="auto"/>
        <w:jc w:val="both"/>
        <w:rPr>
          <w:rFonts w:cs="Arial"/>
          <w:lang w:val="de-DE"/>
        </w:rPr>
      </w:pPr>
      <w:r>
        <w:rPr>
          <w:rFonts w:cs="Arial"/>
          <w:lang w:val="de-DE"/>
        </w:rPr>
        <w:t xml:space="preserve">Um weiterhin die negativen Auswirkungen der COVID-19-Pandemie auf dem Arbeitsmarkt abzufangen, haben sich die Sozialpartner (AK, ÖGB und WKO) und die Bundesregierung auf eine Verlängerung der Corona-Kurzarbeit geeinigt. </w:t>
      </w:r>
      <w:r w:rsidRPr="00153495">
        <w:rPr>
          <w:rFonts w:cs="Arial"/>
          <w:b/>
          <w:bCs/>
          <w:lang w:val="de-DE"/>
        </w:rPr>
        <w:t>Ab 1. Juli 2021</w:t>
      </w:r>
      <w:r>
        <w:rPr>
          <w:rFonts w:cs="Arial"/>
          <w:lang w:val="de-DE"/>
        </w:rPr>
        <w:t xml:space="preserve"> </w:t>
      </w:r>
      <w:r w:rsidR="00015E82" w:rsidRPr="00624F73">
        <w:rPr>
          <w:rFonts w:cs="Arial"/>
          <w:lang w:val="de-DE"/>
        </w:rPr>
        <w:t xml:space="preserve">soll </w:t>
      </w:r>
      <w:r w:rsidRPr="00624F73">
        <w:rPr>
          <w:rFonts w:cs="Arial"/>
          <w:lang w:val="de-DE"/>
        </w:rPr>
        <w:t xml:space="preserve">die Corona-Kurzarbeit in </w:t>
      </w:r>
      <w:r w:rsidR="00624F73" w:rsidRPr="00624F73">
        <w:rPr>
          <w:rFonts w:cs="Arial"/>
          <w:lang w:val="de-DE"/>
        </w:rPr>
        <w:t xml:space="preserve">folgenden zwei </w:t>
      </w:r>
      <w:r w:rsidRPr="00624F73">
        <w:rPr>
          <w:rFonts w:cs="Arial"/>
          <w:lang w:val="de-DE"/>
        </w:rPr>
        <w:t>Varianten zur Verfügung</w:t>
      </w:r>
      <w:r w:rsidR="00624F73" w:rsidRPr="00624F73">
        <w:rPr>
          <w:rFonts w:cs="Arial"/>
          <w:lang w:val="de-DE"/>
        </w:rPr>
        <w:t xml:space="preserve"> stehen</w:t>
      </w:r>
      <w:r w:rsidR="00624F73">
        <w:rPr>
          <w:rFonts w:cs="Arial"/>
          <w:lang w:val="de-DE"/>
        </w:rPr>
        <w:t xml:space="preserve"> </w:t>
      </w:r>
    </w:p>
    <w:p w14:paraId="2460B5D6" w14:textId="77777777" w:rsidR="00C76FE1" w:rsidRDefault="00C76FE1" w:rsidP="00360B7F">
      <w:pPr>
        <w:spacing w:line="276" w:lineRule="auto"/>
        <w:jc w:val="both"/>
        <w:rPr>
          <w:rFonts w:cs="Arial"/>
          <w:lang w:val="de-DE"/>
        </w:rPr>
      </w:pPr>
      <w:r>
        <w:rPr>
          <w:rFonts w:cs="Arial"/>
          <w:lang w:val="de-DE"/>
        </w:rPr>
        <w:tab/>
        <w:t>Modell 1: Für alle Betriebe (allgemeine Kurzarbeit)</w:t>
      </w:r>
    </w:p>
    <w:p w14:paraId="2D2C8C97" w14:textId="77777777" w:rsidR="00C76FE1" w:rsidRPr="00B632B3" w:rsidRDefault="00C76FE1" w:rsidP="00360B7F">
      <w:pPr>
        <w:spacing w:line="276" w:lineRule="auto"/>
        <w:jc w:val="both"/>
        <w:rPr>
          <w:rFonts w:cs="Arial"/>
          <w:lang w:val="de-DE"/>
        </w:rPr>
      </w:pPr>
      <w:r>
        <w:rPr>
          <w:rFonts w:cs="Arial"/>
          <w:lang w:val="de-DE"/>
        </w:rPr>
        <w:tab/>
        <w:t>Modell 2:</w:t>
      </w:r>
      <w:r w:rsidRPr="00DF2AD3">
        <w:rPr>
          <w:rFonts w:cs="Arial"/>
          <w:lang w:val="de-DE"/>
        </w:rPr>
        <w:t xml:space="preserve"> </w:t>
      </w:r>
      <w:r>
        <w:rPr>
          <w:rFonts w:cs="Arial"/>
          <w:lang w:val="de-DE"/>
        </w:rPr>
        <w:t>Für Unternehmen, die von der Pandemie besonders betroffen sind</w:t>
      </w:r>
    </w:p>
    <w:p w14:paraId="596202D9" w14:textId="77777777" w:rsidR="00644258" w:rsidRDefault="00644258" w:rsidP="00360B7F">
      <w:pPr>
        <w:spacing w:line="276" w:lineRule="auto"/>
        <w:jc w:val="both"/>
        <w:rPr>
          <w:rFonts w:cs="Arial"/>
          <w:lang w:val="de-DE"/>
        </w:rPr>
      </w:pPr>
    </w:p>
    <w:p w14:paraId="3E422EBD" w14:textId="45DF9B6F" w:rsidR="00EC28D1" w:rsidRDefault="00C76FE1" w:rsidP="00C76FE1">
      <w:pPr>
        <w:jc w:val="both"/>
        <w:rPr>
          <w:rFonts w:cs="Arial"/>
          <w:lang w:val="de-DE"/>
        </w:rPr>
      </w:pPr>
      <w:r>
        <w:rPr>
          <w:rFonts w:cs="Arial"/>
          <w:lang w:val="de-DE"/>
        </w:rPr>
        <w:t xml:space="preserve">Folgende Eckpunkte </w:t>
      </w:r>
      <w:r w:rsidR="00624F73">
        <w:rPr>
          <w:rFonts w:cs="Arial"/>
          <w:lang w:val="de-DE"/>
        </w:rPr>
        <w:t xml:space="preserve">sind </w:t>
      </w:r>
      <w:r>
        <w:rPr>
          <w:rFonts w:cs="Arial"/>
          <w:lang w:val="de-DE"/>
        </w:rPr>
        <w:t>geplant:</w:t>
      </w:r>
    </w:p>
    <w:p w14:paraId="2E5ACEB0" w14:textId="77777777" w:rsidR="002600C4" w:rsidRDefault="002600C4" w:rsidP="00C76FE1">
      <w:pPr>
        <w:jc w:val="both"/>
        <w:rPr>
          <w:rFonts w:cs="Arial"/>
          <w:lang w:val="de-DE"/>
        </w:rPr>
      </w:pPr>
    </w:p>
    <w:tbl>
      <w:tblPr>
        <w:tblStyle w:val="Tabellenraster"/>
        <w:tblW w:w="9214" w:type="dxa"/>
        <w:tblLook w:val="04A0" w:firstRow="1" w:lastRow="0" w:firstColumn="1" w:lastColumn="0" w:noHBand="0" w:noVBand="1"/>
      </w:tblPr>
      <w:tblGrid>
        <w:gridCol w:w="2127"/>
        <w:gridCol w:w="3543"/>
        <w:gridCol w:w="3544"/>
      </w:tblGrid>
      <w:tr w:rsidR="00C76FE1" w:rsidRPr="00F8412A" w14:paraId="7B3570D7" w14:textId="77777777" w:rsidTr="00EC28D1">
        <w:tc>
          <w:tcPr>
            <w:tcW w:w="2127" w:type="dxa"/>
            <w:tcBorders>
              <w:top w:val="nil"/>
              <w:left w:val="nil"/>
              <w:bottom w:val="single" w:sz="4" w:space="0" w:color="auto"/>
              <w:right w:val="single" w:sz="4" w:space="0" w:color="auto"/>
            </w:tcBorders>
          </w:tcPr>
          <w:p w14:paraId="59663BEE" w14:textId="77777777" w:rsidR="00C76FE1" w:rsidRPr="00F8412A" w:rsidRDefault="00C76FE1" w:rsidP="003419DD">
            <w:pPr>
              <w:jc w:val="both"/>
              <w:rPr>
                <w:rFonts w:cs="Arial"/>
                <w:sz w:val="18"/>
                <w:lang w:val="de-DE"/>
              </w:rPr>
            </w:pPr>
          </w:p>
        </w:tc>
        <w:tc>
          <w:tcPr>
            <w:tcW w:w="3543" w:type="dxa"/>
            <w:tcBorders>
              <w:top w:val="single" w:sz="4" w:space="0" w:color="auto"/>
              <w:left w:val="single" w:sz="4" w:space="0" w:color="auto"/>
              <w:bottom w:val="single" w:sz="4" w:space="0" w:color="auto"/>
              <w:right w:val="nil"/>
            </w:tcBorders>
          </w:tcPr>
          <w:p w14:paraId="4215ECC8" w14:textId="77777777" w:rsidR="00C76FE1" w:rsidRPr="00F8412A" w:rsidRDefault="00C76FE1" w:rsidP="003419DD">
            <w:pPr>
              <w:jc w:val="center"/>
              <w:rPr>
                <w:rFonts w:cs="Arial"/>
                <w:b/>
                <w:sz w:val="18"/>
                <w:lang w:val="de-DE"/>
              </w:rPr>
            </w:pPr>
            <w:r w:rsidRPr="00F8412A">
              <w:rPr>
                <w:rFonts w:cs="Arial"/>
                <w:b/>
                <w:sz w:val="18"/>
                <w:lang w:val="de-DE"/>
              </w:rPr>
              <w:t>Modell 1</w:t>
            </w:r>
          </w:p>
        </w:tc>
        <w:tc>
          <w:tcPr>
            <w:tcW w:w="3544" w:type="dxa"/>
            <w:tcBorders>
              <w:top w:val="single" w:sz="4" w:space="0" w:color="auto"/>
              <w:left w:val="nil"/>
              <w:bottom w:val="single" w:sz="4" w:space="0" w:color="auto"/>
              <w:right w:val="single" w:sz="4" w:space="0" w:color="auto"/>
            </w:tcBorders>
          </w:tcPr>
          <w:p w14:paraId="5E298DE5" w14:textId="77777777" w:rsidR="00C76FE1" w:rsidRPr="00F8412A" w:rsidRDefault="00C76FE1" w:rsidP="003419DD">
            <w:pPr>
              <w:jc w:val="center"/>
              <w:rPr>
                <w:rFonts w:cs="Arial"/>
                <w:b/>
                <w:sz w:val="18"/>
                <w:lang w:val="de-DE"/>
              </w:rPr>
            </w:pPr>
            <w:r w:rsidRPr="00F8412A">
              <w:rPr>
                <w:rFonts w:cs="Arial"/>
                <w:b/>
                <w:sz w:val="18"/>
                <w:lang w:val="de-DE"/>
              </w:rPr>
              <w:t>Modell 2</w:t>
            </w:r>
          </w:p>
        </w:tc>
      </w:tr>
      <w:tr w:rsidR="00C76FE1" w:rsidRPr="00F8412A" w14:paraId="52E07738" w14:textId="77777777" w:rsidTr="00EC28D1">
        <w:tc>
          <w:tcPr>
            <w:tcW w:w="2127" w:type="dxa"/>
            <w:tcBorders>
              <w:top w:val="single" w:sz="4" w:space="0" w:color="auto"/>
            </w:tcBorders>
            <w:vAlign w:val="center"/>
          </w:tcPr>
          <w:p w14:paraId="4C36E277" w14:textId="77777777" w:rsidR="00C76FE1" w:rsidRPr="00F8412A" w:rsidRDefault="00C76FE1" w:rsidP="00E616D0">
            <w:pPr>
              <w:rPr>
                <w:rFonts w:cs="Arial"/>
                <w:sz w:val="18"/>
                <w:lang w:val="de-DE"/>
              </w:rPr>
            </w:pPr>
            <w:r w:rsidRPr="00F8412A">
              <w:rPr>
                <w:rFonts w:cs="Arial"/>
                <w:sz w:val="18"/>
                <w:lang w:val="de-DE"/>
              </w:rPr>
              <w:t>Beihilfe</w:t>
            </w:r>
          </w:p>
        </w:tc>
        <w:tc>
          <w:tcPr>
            <w:tcW w:w="3543" w:type="dxa"/>
            <w:tcBorders>
              <w:top w:val="single" w:sz="4" w:space="0" w:color="auto"/>
            </w:tcBorders>
            <w:vAlign w:val="center"/>
          </w:tcPr>
          <w:p w14:paraId="709ABA88" w14:textId="77777777" w:rsidR="00C76FE1" w:rsidRPr="00F8412A" w:rsidRDefault="00C76FE1" w:rsidP="003419DD">
            <w:pPr>
              <w:jc w:val="center"/>
              <w:rPr>
                <w:rFonts w:cs="Arial"/>
                <w:sz w:val="18"/>
                <w:lang w:val="de-DE"/>
              </w:rPr>
            </w:pPr>
            <w:r w:rsidRPr="00F8412A">
              <w:rPr>
                <w:rFonts w:cs="Arial"/>
                <w:sz w:val="18"/>
                <w:lang w:val="de-DE"/>
              </w:rPr>
              <w:t>Abschlag von 15% der bisherigen Beihilfenhöhe</w:t>
            </w:r>
          </w:p>
        </w:tc>
        <w:tc>
          <w:tcPr>
            <w:tcW w:w="3544" w:type="dxa"/>
            <w:tcBorders>
              <w:top w:val="single" w:sz="4" w:space="0" w:color="auto"/>
            </w:tcBorders>
            <w:vAlign w:val="center"/>
          </w:tcPr>
          <w:p w14:paraId="7AF2E24C" w14:textId="77777777" w:rsidR="00C76FE1" w:rsidRPr="00F8412A" w:rsidRDefault="00C76FE1" w:rsidP="003419DD">
            <w:pPr>
              <w:jc w:val="center"/>
              <w:rPr>
                <w:rFonts w:cs="Arial"/>
                <w:sz w:val="18"/>
                <w:lang w:val="de-DE"/>
              </w:rPr>
            </w:pPr>
            <w:r w:rsidRPr="00F8412A">
              <w:rPr>
                <w:rFonts w:cs="Arial"/>
                <w:sz w:val="18"/>
                <w:lang w:val="de-DE"/>
              </w:rPr>
              <w:t>Kein Abschlag (voraussichtliche Umsetzung: monatliche Auszahlung der um 15% reduzierten Beihilfe und anschließende Aufzahlung auf volle Beihilfe im Zuge der Endabrechnung)</w:t>
            </w:r>
          </w:p>
        </w:tc>
      </w:tr>
      <w:tr w:rsidR="00EC28D1" w:rsidRPr="00F8412A" w14:paraId="7A7AB171" w14:textId="77777777" w:rsidTr="00E616D0">
        <w:trPr>
          <w:trHeight w:val="331"/>
        </w:trPr>
        <w:tc>
          <w:tcPr>
            <w:tcW w:w="2127" w:type="dxa"/>
            <w:vAlign w:val="center"/>
          </w:tcPr>
          <w:p w14:paraId="18381DBC" w14:textId="12FAB4EB" w:rsidR="00EC28D1" w:rsidRPr="00EC28D1" w:rsidRDefault="00EC28D1" w:rsidP="00E616D0">
            <w:pPr>
              <w:rPr>
                <w:rFonts w:cs="Arial"/>
                <w:sz w:val="18"/>
                <w:lang w:val="de-DE"/>
              </w:rPr>
            </w:pPr>
            <w:r w:rsidRPr="00F8412A">
              <w:rPr>
                <w:rFonts w:cs="Arial"/>
                <w:sz w:val="18"/>
                <w:lang w:val="de-DE"/>
              </w:rPr>
              <w:t>Geltungsdauer</w:t>
            </w:r>
          </w:p>
        </w:tc>
        <w:tc>
          <w:tcPr>
            <w:tcW w:w="3543" w:type="dxa"/>
            <w:vAlign w:val="center"/>
          </w:tcPr>
          <w:p w14:paraId="3BD984CC" w14:textId="36FB4841" w:rsidR="00EC28D1" w:rsidRPr="00EC28D1" w:rsidRDefault="00EC28D1" w:rsidP="00EC28D1">
            <w:pPr>
              <w:jc w:val="center"/>
              <w:rPr>
                <w:rFonts w:cs="Arial"/>
                <w:sz w:val="18"/>
                <w:lang w:val="de-DE"/>
              </w:rPr>
            </w:pPr>
            <w:r w:rsidRPr="00F8412A">
              <w:rPr>
                <w:rFonts w:cs="Arial"/>
                <w:sz w:val="18"/>
                <w:lang w:val="de-DE"/>
              </w:rPr>
              <w:t>vorläufig bis Juni 2022</w:t>
            </w:r>
          </w:p>
        </w:tc>
        <w:tc>
          <w:tcPr>
            <w:tcW w:w="3544" w:type="dxa"/>
            <w:vAlign w:val="center"/>
          </w:tcPr>
          <w:p w14:paraId="22C8553C" w14:textId="610FB7E2" w:rsidR="00EC28D1" w:rsidRPr="00EC28D1" w:rsidRDefault="00EC28D1" w:rsidP="00EC28D1">
            <w:pPr>
              <w:jc w:val="center"/>
              <w:rPr>
                <w:rFonts w:cs="Arial"/>
                <w:sz w:val="18"/>
                <w:lang w:val="de-DE"/>
              </w:rPr>
            </w:pPr>
            <w:r w:rsidRPr="00F8412A">
              <w:rPr>
                <w:rFonts w:cs="Arial"/>
                <w:sz w:val="18"/>
                <w:lang w:val="de-DE"/>
              </w:rPr>
              <w:t>vorläufig bis Ende Dezember 2021</w:t>
            </w:r>
          </w:p>
        </w:tc>
      </w:tr>
      <w:tr w:rsidR="00EC28D1" w:rsidRPr="00F8412A" w14:paraId="4A3E75C8" w14:textId="77777777" w:rsidTr="00E616D0">
        <w:trPr>
          <w:trHeight w:val="407"/>
        </w:trPr>
        <w:tc>
          <w:tcPr>
            <w:tcW w:w="2127" w:type="dxa"/>
            <w:vAlign w:val="center"/>
          </w:tcPr>
          <w:p w14:paraId="6B588666" w14:textId="330E43E0" w:rsidR="00EC28D1" w:rsidRPr="00EC28D1" w:rsidRDefault="00EC28D1" w:rsidP="00E616D0">
            <w:pPr>
              <w:rPr>
                <w:rFonts w:cs="Arial"/>
                <w:sz w:val="18"/>
                <w:lang w:val="de-DE"/>
              </w:rPr>
            </w:pPr>
            <w:r w:rsidRPr="00F8412A">
              <w:rPr>
                <w:rFonts w:cs="Arial"/>
                <w:sz w:val="18"/>
                <w:lang w:val="de-DE"/>
              </w:rPr>
              <w:t>Mindestarbeitszeit</w:t>
            </w:r>
          </w:p>
        </w:tc>
        <w:tc>
          <w:tcPr>
            <w:tcW w:w="3543" w:type="dxa"/>
            <w:vAlign w:val="center"/>
          </w:tcPr>
          <w:p w14:paraId="3E28F71C" w14:textId="454EBBFF" w:rsidR="00EC28D1" w:rsidRPr="00EC28D1" w:rsidRDefault="00EC28D1" w:rsidP="00EC28D1">
            <w:pPr>
              <w:jc w:val="center"/>
              <w:rPr>
                <w:rFonts w:cs="Arial"/>
                <w:sz w:val="18"/>
                <w:lang w:val="de-DE"/>
              </w:rPr>
            </w:pPr>
            <w:r w:rsidRPr="00F8412A">
              <w:rPr>
                <w:rFonts w:cs="Arial"/>
                <w:sz w:val="18"/>
                <w:lang w:val="de-DE"/>
              </w:rPr>
              <w:t>50% (in Ausnahmefällen 30%)</w:t>
            </w:r>
          </w:p>
        </w:tc>
        <w:tc>
          <w:tcPr>
            <w:tcW w:w="3544" w:type="dxa"/>
            <w:vAlign w:val="center"/>
          </w:tcPr>
          <w:p w14:paraId="449CB0FB" w14:textId="788EF462" w:rsidR="00EC28D1" w:rsidRPr="00EC28D1" w:rsidRDefault="00EC28D1" w:rsidP="00EC28D1">
            <w:pPr>
              <w:jc w:val="center"/>
              <w:rPr>
                <w:rFonts w:cs="Arial"/>
                <w:sz w:val="18"/>
                <w:lang w:val="de-DE"/>
              </w:rPr>
            </w:pPr>
            <w:r w:rsidRPr="00F8412A">
              <w:rPr>
                <w:rFonts w:cs="Arial"/>
                <w:sz w:val="18"/>
                <w:lang w:val="de-DE"/>
              </w:rPr>
              <w:t>30% (mit Ausnahmen)</w:t>
            </w:r>
          </w:p>
        </w:tc>
      </w:tr>
      <w:tr w:rsidR="00EC28D1" w:rsidRPr="00F8412A" w14:paraId="7ED4FB83" w14:textId="77777777" w:rsidTr="00EC28D1">
        <w:tc>
          <w:tcPr>
            <w:tcW w:w="2127" w:type="dxa"/>
            <w:vAlign w:val="center"/>
          </w:tcPr>
          <w:p w14:paraId="60AA8094" w14:textId="133DAA17" w:rsidR="00EC28D1" w:rsidRPr="00F8412A" w:rsidRDefault="00EC28D1" w:rsidP="00E616D0">
            <w:pPr>
              <w:rPr>
                <w:rFonts w:cs="Arial"/>
                <w:sz w:val="18"/>
                <w:lang w:val="de-DE"/>
              </w:rPr>
            </w:pPr>
            <w:r w:rsidRPr="00F8412A">
              <w:rPr>
                <w:rFonts w:cs="Arial"/>
                <w:sz w:val="18"/>
                <w:lang w:val="de-DE"/>
              </w:rPr>
              <w:t>Beantragungsberechtigte Unternehmen</w:t>
            </w:r>
          </w:p>
        </w:tc>
        <w:tc>
          <w:tcPr>
            <w:tcW w:w="3543" w:type="dxa"/>
            <w:vAlign w:val="center"/>
          </w:tcPr>
          <w:p w14:paraId="0813934C" w14:textId="3FB2EBE1" w:rsidR="00EC28D1" w:rsidRPr="00F8412A" w:rsidRDefault="00EC28D1" w:rsidP="00EC28D1">
            <w:pPr>
              <w:jc w:val="center"/>
              <w:rPr>
                <w:rFonts w:cs="Arial"/>
                <w:sz w:val="18"/>
                <w:lang w:val="de-DE"/>
              </w:rPr>
            </w:pPr>
            <w:r w:rsidRPr="00F8412A">
              <w:rPr>
                <w:rFonts w:cs="Arial"/>
                <w:sz w:val="18"/>
                <w:lang w:val="de-DE"/>
              </w:rPr>
              <w:t>alle Betriebe</w:t>
            </w:r>
          </w:p>
        </w:tc>
        <w:tc>
          <w:tcPr>
            <w:tcW w:w="3544" w:type="dxa"/>
            <w:vAlign w:val="center"/>
          </w:tcPr>
          <w:p w14:paraId="720682CE" w14:textId="4E0FF812" w:rsidR="00EC28D1" w:rsidRPr="00F8412A" w:rsidRDefault="00EC28D1" w:rsidP="00EC28D1">
            <w:pPr>
              <w:jc w:val="center"/>
              <w:rPr>
                <w:rFonts w:cs="Arial"/>
                <w:sz w:val="18"/>
                <w:lang w:val="de-DE"/>
              </w:rPr>
            </w:pPr>
            <w:r w:rsidRPr="00F8412A">
              <w:rPr>
                <w:rFonts w:cs="Arial"/>
                <w:sz w:val="18"/>
                <w:lang w:val="de-DE"/>
              </w:rPr>
              <w:t>Betriebe</w:t>
            </w:r>
            <w:r>
              <w:rPr>
                <w:rFonts w:cs="Arial"/>
                <w:sz w:val="18"/>
                <w:lang w:val="de-DE"/>
              </w:rPr>
              <w:t>,</w:t>
            </w:r>
            <w:r w:rsidRPr="00F8412A">
              <w:rPr>
                <w:rFonts w:cs="Arial"/>
                <w:sz w:val="18"/>
                <w:lang w:val="de-DE"/>
              </w:rPr>
              <w:t xml:space="preserve"> die im 3. Quartal 2020 gegenüber dem 3. Quartal 2019 einen Umsatzeinbruch von</w:t>
            </w:r>
            <w:r>
              <w:rPr>
                <w:rFonts w:cs="Arial"/>
                <w:sz w:val="18"/>
                <w:lang w:val="de-DE"/>
              </w:rPr>
              <w:t xml:space="preserve"> zumindest</w:t>
            </w:r>
            <w:r w:rsidRPr="00F8412A">
              <w:rPr>
                <w:rFonts w:cs="Arial"/>
                <w:sz w:val="18"/>
                <w:lang w:val="de-DE"/>
              </w:rPr>
              <w:t xml:space="preserve"> 50% hatten oder die von einem Lockdown oder behördlichen Maßnahmen betroffen sind</w:t>
            </w:r>
          </w:p>
        </w:tc>
      </w:tr>
      <w:tr w:rsidR="00EC28D1" w:rsidRPr="00F8412A" w14:paraId="6A28D0B9" w14:textId="77777777" w:rsidTr="00EC28D1">
        <w:tc>
          <w:tcPr>
            <w:tcW w:w="2127" w:type="dxa"/>
            <w:vAlign w:val="center"/>
          </w:tcPr>
          <w:p w14:paraId="1D34E5A5" w14:textId="55ACA281" w:rsidR="00EC28D1" w:rsidRPr="00F8412A" w:rsidRDefault="00EC28D1" w:rsidP="00E616D0">
            <w:pPr>
              <w:rPr>
                <w:rFonts w:cs="Arial"/>
                <w:sz w:val="18"/>
                <w:lang w:val="de-DE"/>
              </w:rPr>
            </w:pPr>
            <w:r w:rsidRPr="00F8412A">
              <w:rPr>
                <w:rFonts w:cs="Arial"/>
                <w:sz w:val="18"/>
                <w:lang w:val="de-DE"/>
              </w:rPr>
              <w:t>Normalarbeitszeiten und Überstunden</w:t>
            </w:r>
          </w:p>
        </w:tc>
        <w:tc>
          <w:tcPr>
            <w:tcW w:w="3543" w:type="dxa"/>
            <w:vAlign w:val="center"/>
          </w:tcPr>
          <w:p w14:paraId="5AE31224" w14:textId="77777777" w:rsidR="00EC28D1" w:rsidRDefault="00EC28D1" w:rsidP="00EC28D1">
            <w:pPr>
              <w:jc w:val="center"/>
              <w:rPr>
                <w:rFonts w:cs="Arial"/>
                <w:sz w:val="18"/>
                <w:lang w:val="de-DE"/>
              </w:rPr>
            </w:pPr>
            <w:r w:rsidRPr="00F8412A">
              <w:rPr>
                <w:rFonts w:cs="Arial"/>
                <w:sz w:val="18"/>
                <w:lang w:val="de-DE"/>
              </w:rPr>
              <w:t xml:space="preserve">Wer phasenweise 100% arbeitet, bekommt auch den vollen Lohn; Überstunden müssen bezahlt </w:t>
            </w:r>
          </w:p>
          <w:p w14:paraId="115AB3C6" w14:textId="543BE2C4" w:rsidR="00EC28D1" w:rsidRPr="00F8412A" w:rsidRDefault="00EC28D1" w:rsidP="00EC28D1">
            <w:pPr>
              <w:jc w:val="center"/>
              <w:rPr>
                <w:rFonts w:cs="Arial"/>
                <w:sz w:val="18"/>
                <w:lang w:val="de-DE"/>
              </w:rPr>
            </w:pPr>
            <w:r w:rsidRPr="00F8412A">
              <w:rPr>
                <w:rFonts w:cs="Arial"/>
                <w:sz w:val="18"/>
                <w:lang w:val="de-DE"/>
              </w:rPr>
              <w:t>werden</w:t>
            </w:r>
          </w:p>
        </w:tc>
        <w:tc>
          <w:tcPr>
            <w:tcW w:w="3544" w:type="dxa"/>
            <w:vAlign w:val="center"/>
          </w:tcPr>
          <w:p w14:paraId="5FAF7BAF" w14:textId="77777777" w:rsidR="00EC28D1" w:rsidRPr="00F8412A" w:rsidRDefault="00EC28D1" w:rsidP="00EC28D1">
            <w:pPr>
              <w:jc w:val="center"/>
              <w:rPr>
                <w:rFonts w:cs="Arial"/>
                <w:sz w:val="18"/>
                <w:lang w:val="de-DE"/>
              </w:rPr>
            </w:pPr>
          </w:p>
        </w:tc>
      </w:tr>
      <w:tr w:rsidR="00EC28D1" w:rsidRPr="00F8412A" w14:paraId="608030A8" w14:textId="77777777" w:rsidTr="00EC28D1">
        <w:tc>
          <w:tcPr>
            <w:tcW w:w="2127" w:type="dxa"/>
            <w:vAlign w:val="center"/>
          </w:tcPr>
          <w:p w14:paraId="3DA80892" w14:textId="756DEC10" w:rsidR="00EC28D1" w:rsidRPr="00F8412A" w:rsidRDefault="00EC28D1" w:rsidP="00E616D0">
            <w:pPr>
              <w:rPr>
                <w:rFonts w:cs="Arial"/>
                <w:sz w:val="18"/>
                <w:lang w:val="de-DE"/>
              </w:rPr>
            </w:pPr>
            <w:r w:rsidRPr="00F8412A">
              <w:rPr>
                <w:rFonts w:cs="Arial"/>
                <w:sz w:val="18"/>
                <w:lang w:val="de-DE"/>
              </w:rPr>
              <w:lastRenderedPageBreak/>
              <w:t>Kurzarbeitsdauer</w:t>
            </w:r>
          </w:p>
        </w:tc>
        <w:tc>
          <w:tcPr>
            <w:tcW w:w="7087" w:type="dxa"/>
            <w:gridSpan w:val="2"/>
            <w:vAlign w:val="center"/>
          </w:tcPr>
          <w:p w14:paraId="150626BD" w14:textId="77777777" w:rsidR="00EC28D1" w:rsidRDefault="00EC28D1" w:rsidP="00EC28D1">
            <w:pPr>
              <w:jc w:val="center"/>
              <w:rPr>
                <w:rFonts w:cs="Arial"/>
                <w:sz w:val="18"/>
                <w:lang w:val="de-DE"/>
              </w:rPr>
            </w:pPr>
            <w:r w:rsidRPr="00F8412A">
              <w:rPr>
                <w:rFonts w:cs="Arial"/>
                <w:sz w:val="18"/>
                <w:lang w:val="de-DE"/>
              </w:rPr>
              <w:t xml:space="preserve">Maximal 24 Monate (mit Ausnahmen im Einzelfall), </w:t>
            </w:r>
          </w:p>
          <w:p w14:paraId="0E43F7A5" w14:textId="2808DD21" w:rsidR="00EC28D1" w:rsidRPr="00F8412A" w:rsidRDefault="00EC28D1" w:rsidP="00EC28D1">
            <w:pPr>
              <w:jc w:val="center"/>
              <w:rPr>
                <w:rFonts w:cs="Arial"/>
                <w:sz w:val="18"/>
                <w:lang w:val="de-DE"/>
              </w:rPr>
            </w:pPr>
            <w:r w:rsidRPr="00F8412A">
              <w:rPr>
                <w:rFonts w:cs="Arial"/>
                <w:sz w:val="18"/>
                <w:lang w:val="de-DE"/>
              </w:rPr>
              <w:t>Antragsphase beträgt 6 Monate</w:t>
            </w:r>
          </w:p>
        </w:tc>
      </w:tr>
      <w:tr w:rsidR="00EC28D1" w:rsidRPr="00F8412A" w14:paraId="141772A5" w14:textId="77777777" w:rsidTr="00EC28D1">
        <w:tc>
          <w:tcPr>
            <w:tcW w:w="2127" w:type="dxa"/>
            <w:vAlign w:val="center"/>
          </w:tcPr>
          <w:p w14:paraId="45E6BDE5" w14:textId="771804DD" w:rsidR="00EC28D1" w:rsidRPr="00F8412A" w:rsidRDefault="00EC28D1" w:rsidP="00E616D0">
            <w:pPr>
              <w:rPr>
                <w:rFonts w:cs="Arial"/>
                <w:sz w:val="18"/>
                <w:lang w:val="de-DE"/>
              </w:rPr>
            </w:pPr>
            <w:r w:rsidRPr="00F8412A">
              <w:rPr>
                <w:rFonts w:cs="Arial"/>
                <w:sz w:val="18"/>
                <w:lang w:val="de-DE"/>
              </w:rPr>
              <w:t>Nettoersatzraten</w:t>
            </w:r>
          </w:p>
        </w:tc>
        <w:tc>
          <w:tcPr>
            <w:tcW w:w="7087" w:type="dxa"/>
            <w:gridSpan w:val="2"/>
            <w:vAlign w:val="center"/>
          </w:tcPr>
          <w:p w14:paraId="6F7F963B" w14:textId="77777777" w:rsidR="00EC28D1" w:rsidRDefault="00EC28D1" w:rsidP="00EC28D1">
            <w:pPr>
              <w:jc w:val="center"/>
              <w:rPr>
                <w:rFonts w:cs="Arial"/>
                <w:sz w:val="18"/>
                <w:lang w:val="de-DE"/>
              </w:rPr>
            </w:pPr>
            <w:r w:rsidRPr="00F8412A">
              <w:rPr>
                <w:rFonts w:cs="Arial"/>
                <w:sz w:val="18"/>
                <w:lang w:val="de-DE"/>
              </w:rPr>
              <w:t xml:space="preserve">Arbeitnehmer erhalten wie bisher zwischen 80% und 90% ihres </w:t>
            </w:r>
          </w:p>
          <w:p w14:paraId="3A88259B" w14:textId="0CB350B2" w:rsidR="00EC28D1" w:rsidRPr="00F8412A" w:rsidRDefault="00EC28D1" w:rsidP="00EC28D1">
            <w:pPr>
              <w:jc w:val="center"/>
              <w:rPr>
                <w:rFonts w:cs="Arial"/>
                <w:sz w:val="18"/>
                <w:lang w:val="de-DE"/>
              </w:rPr>
            </w:pPr>
            <w:r w:rsidRPr="00F8412A">
              <w:rPr>
                <w:rFonts w:cs="Arial"/>
                <w:sz w:val="18"/>
                <w:lang w:val="de-DE"/>
              </w:rPr>
              <w:t>Netto-Einkommens wie vor Corona</w:t>
            </w:r>
          </w:p>
        </w:tc>
      </w:tr>
      <w:tr w:rsidR="00EC28D1" w:rsidRPr="00F8412A" w14:paraId="2E35738E" w14:textId="77777777" w:rsidTr="00EC28D1">
        <w:tc>
          <w:tcPr>
            <w:tcW w:w="2127" w:type="dxa"/>
            <w:vAlign w:val="center"/>
          </w:tcPr>
          <w:p w14:paraId="55D20C58" w14:textId="562B687F" w:rsidR="00EC28D1" w:rsidRPr="00F8412A" w:rsidRDefault="00EC28D1" w:rsidP="00E616D0">
            <w:pPr>
              <w:rPr>
                <w:rFonts w:cs="Arial"/>
                <w:sz w:val="18"/>
                <w:lang w:val="de-DE"/>
              </w:rPr>
            </w:pPr>
            <w:r w:rsidRPr="00F8412A">
              <w:rPr>
                <w:rFonts w:cs="Arial"/>
                <w:sz w:val="18"/>
                <w:lang w:val="de-DE"/>
              </w:rPr>
              <w:t>Urlaubsverbrauch</w:t>
            </w:r>
          </w:p>
        </w:tc>
        <w:tc>
          <w:tcPr>
            <w:tcW w:w="7087" w:type="dxa"/>
            <w:gridSpan w:val="2"/>
            <w:vAlign w:val="center"/>
          </w:tcPr>
          <w:p w14:paraId="5A54B3F1" w14:textId="77777777" w:rsidR="00EC28D1" w:rsidRDefault="00EC28D1" w:rsidP="00EC28D1">
            <w:pPr>
              <w:jc w:val="center"/>
              <w:rPr>
                <w:rFonts w:cs="Arial"/>
                <w:sz w:val="18"/>
                <w:lang w:val="de-DE"/>
              </w:rPr>
            </w:pPr>
            <w:r w:rsidRPr="00F8412A">
              <w:rPr>
                <w:rFonts w:cs="Arial"/>
                <w:sz w:val="18"/>
                <w:lang w:val="de-DE"/>
              </w:rPr>
              <w:t xml:space="preserve">Verpflichtender Urlaubsverbrauch von 1 Woche je angefangenen </w:t>
            </w:r>
          </w:p>
          <w:p w14:paraId="3987EA54" w14:textId="7E87FC4A" w:rsidR="00EC28D1" w:rsidRPr="00F8412A" w:rsidRDefault="00EC28D1" w:rsidP="00EC28D1">
            <w:pPr>
              <w:jc w:val="center"/>
              <w:rPr>
                <w:rFonts w:cs="Arial"/>
                <w:sz w:val="18"/>
                <w:lang w:val="de-DE"/>
              </w:rPr>
            </w:pPr>
            <w:r w:rsidRPr="00F8412A">
              <w:rPr>
                <w:rFonts w:cs="Arial"/>
                <w:sz w:val="18"/>
                <w:lang w:val="de-DE"/>
              </w:rPr>
              <w:t>2 Monaten Kurzarbeit</w:t>
            </w:r>
          </w:p>
        </w:tc>
      </w:tr>
      <w:tr w:rsidR="00EC28D1" w:rsidRPr="00F8412A" w14:paraId="1C674CF9" w14:textId="77777777" w:rsidTr="00EC28D1">
        <w:tc>
          <w:tcPr>
            <w:tcW w:w="2127" w:type="dxa"/>
            <w:vAlign w:val="center"/>
          </w:tcPr>
          <w:p w14:paraId="0CEAB122" w14:textId="41E6979F" w:rsidR="00EC28D1" w:rsidRPr="00EC28D1" w:rsidRDefault="00EC28D1" w:rsidP="00E616D0">
            <w:pPr>
              <w:rPr>
                <w:rFonts w:cs="Arial"/>
                <w:sz w:val="18"/>
                <w:lang w:val="de-DE"/>
              </w:rPr>
            </w:pPr>
            <w:r w:rsidRPr="00F8412A">
              <w:rPr>
                <w:rFonts w:cs="Arial"/>
                <w:sz w:val="18"/>
                <w:lang w:val="de-DE"/>
              </w:rPr>
              <w:t>Zugang zur Kurzarbeit</w:t>
            </w:r>
          </w:p>
        </w:tc>
        <w:tc>
          <w:tcPr>
            <w:tcW w:w="7087" w:type="dxa"/>
            <w:gridSpan w:val="2"/>
            <w:vAlign w:val="center"/>
          </w:tcPr>
          <w:p w14:paraId="0DFC2014" w14:textId="4653889A" w:rsidR="00EC28D1" w:rsidRPr="00EC28D1" w:rsidRDefault="00EC28D1" w:rsidP="00EC28D1">
            <w:pPr>
              <w:jc w:val="center"/>
              <w:rPr>
                <w:rFonts w:cs="Arial"/>
                <w:sz w:val="18"/>
                <w:lang w:val="de-DE"/>
              </w:rPr>
            </w:pPr>
            <w:r>
              <w:rPr>
                <w:rFonts w:cs="Arial"/>
                <w:sz w:val="18"/>
                <w:lang w:val="de-DE"/>
              </w:rPr>
              <w:t xml:space="preserve">Für </w:t>
            </w:r>
            <w:r w:rsidRPr="00F8412A">
              <w:rPr>
                <w:rFonts w:cs="Arial"/>
                <w:sz w:val="18"/>
                <w:lang w:val="de-DE"/>
              </w:rPr>
              <w:t xml:space="preserve">Betriebe, </w:t>
            </w:r>
            <w:r>
              <w:rPr>
                <w:rFonts w:cs="Arial"/>
                <w:sz w:val="18"/>
                <w:lang w:val="de-DE"/>
              </w:rPr>
              <w:t xml:space="preserve">die </w:t>
            </w:r>
            <w:r w:rsidRPr="00F8412A">
              <w:rPr>
                <w:rFonts w:cs="Arial"/>
                <w:sz w:val="18"/>
                <w:lang w:val="de-DE"/>
              </w:rPr>
              <w:t>in Phase 4 in Kurzarbeit waren</w:t>
            </w:r>
            <w:r>
              <w:rPr>
                <w:rFonts w:cs="Arial"/>
                <w:sz w:val="18"/>
                <w:lang w:val="de-DE"/>
              </w:rPr>
              <w:t>,</w:t>
            </w:r>
            <w:r w:rsidRPr="00F8412A">
              <w:rPr>
                <w:rFonts w:cs="Arial"/>
                <w:sz w:val="18"/>
                <w:lang w:val="de-DE"/>
              </w:rPr>
              <w:t xml:space="preserve"> ist der Zugang unverändert</w:t>
            </w:r>
            <w:r>
              <w:rPr>
                <w:rFonts w:cs="Arial"/>
                <w:sz w:val="18"/>
                <w:lang w:val="de-DE"/>
              </w:rPr>
              <w:t>.</w:t>
            </w:r>
            <w:r w:rsidRPr="00F8412A">
              <w:rPr>
                <w:rFonts w:cs="Arial"/>
                <w:sz w:val="18"/>
                <w:lang w:val="de-DE"/>
              </w:rPr>
              <w:t xml:space="preserve"> </w:t>
            </w:r>
            <w:r>
              <w:rPr>
                <w:rFonts w:cs="Arial"/>
                <w:sz w:val="18"/>
                <w:lang w:val="de-DE"/>
              </w:rPr>
              <w:t>F</w:t>
            </w:r>
            <w:r w:rsidRPr="00F8412A">
              <w:rPr>
                <w:rFonts w:cs="Arial"/>
                <w:sz w:val="18"/>
                <w:lang w:val="de-DE"/>
              </w:rPr>
              <w:t>ür neue Betriebe gilt ab Antragstellung eine Frist von 3 Wochen, in der sie von den Sozialpartnern und dem AMS beraten werden</w:t>
            </w:r>
          </w:p>
        </w:tc>
      </w:tr>
    </w:tbl>
    <w:p w14:paraId="746A8D0F" w14:textId="77777777" w:rsidR="00C76FE1" w:rsidRDefault="00C76FE1" w:rsidP="00C76FE1">
      <w:pPr>
        <w:jc w:val="both"/>
        <w:rPr>
          <w:rFonts w:cs="Arial"/>
          <w:lang w:val="de-DE"/>
        </w:rPr>
      </w:pPr>
    </w:p>
    <w:p w14:paraId="5267DCFD" w14:textId="54B0740D" w:rsidR="00C76FE1" w:rsidRDefault="00597ECF" w:rsidP="00BE79F7">
      <w:pPr>
        <w:pStyle w:val="berschrift2"/>
        <w:spacing w:line="276" w:lineRule="auto"/>
      </w:pPr>
      <w:r>
        <w:t>Gleiche Kündigungsfristen für Arbeiter und Angestellte erneut verschoben?</w:t>
      </w:r>
    </w:p>
    <w:p w14:paraId="4FC5B598" w14:textId="70671625" w:rsidR="00597ECF" w:rsidRDefault="00597ECF" w:rsidP="00BE79F7">
      <w:pPr>
        <w:spacing w:line="276" w:lineRule="auto"/>
        <w:jc w:val="both"/>
      </w:pPr>
      <w:r>
        <w:t>Über den Ende Mai eingebrachten Initiativantrag für eine neuerliche Verschiebung der Kündigungsfri</w:t>
      </w:r>
      <w:r w:rsidR="00A175F6">
        <w:t>s</w:t>
      </w:r>
      <w:r>
        <w:t xml:space="preserve">ten-Angleichung vom 1.7.2021 auf den </w:t>
      </w:r>
      <w:r w:rsidRPr="00E00D1E">
        <w:rPr>
          <w:b/>
          <w:bCs/>
        </w:rPr>
        <w:t>1.10.2021</w:t>
      </w:r>
      <w:r>
        <w:t xml:space="preserve"> soll Ende Juni im Parlament abgestimmt werden.</w:t>
      </w:r>
    </w:p>
    <w:p w14:paraId="76BD9DC5" w14:textId="635A90B7" w:rsidR="00597ECF" w:rsidRDefault="00597ECF" w:rsidP="00A175F6">
      <w:pPr>
        <w:jc w:val="both"/>
      </w:pPr>
    </w:p>
    <w:p w14:paraId="76EED97B" w14:textId="5139494A" w:rsidR="00A175F6" w:rsidRDefault="00597ECF" w:rsidP="00A175F6">
      <w:pPr>
        <w:spacing w:line="276" w:lineRule="auto"/>
        <w:jc w:val="both"/>
      </w:pPr>
      <w:r>
        <w:t xml:space="preserve">Unabhängig davon, wann die Anpassung der Kündigungsfristen von </w:t>
      </w:r>
      <w:r w:rsidRPr="00597ECF">
        <w:rPr>
          <w:b/>
          <w:bCs/>
        </w:rPr>
        <w:t>Arbeitern</w:t>
      </w:r>
      <w:r>
        <w:t xml:space="preserve"> </w:t>
      </w:r>
      <w:r w:rsidR="000819E9">
        <w:t>an</w:t>
      </w:r>
      <w:r>
        <w:t xml:space="preserve"> je</w:t>
      </w:r>
      <w:r w:rsidR="00E00D1E">
        <w:t>n</w:t>
      </w:r>
      <w:r>
        <w:t xml:space="preserve">e der Angestellten </w:t>
      </w:r>
      <w:r w:rsidR="00E55A93">
        <w:t>in Kraft tritt</w:t>
      </w:r>
      <w:r>
        <w:t xml:space="preserve">, für die Betriebe bedeutet das einiges an Vorbereitung und Mehrkosten. Derzeit gilt für </w:t>
      </w:r>
      <w:r w:rsidRPr="00E55A93">
        <w:rPr>
          <w:b/>
          <w:bCs/>
        </w:rPr>
        <w:t>Arbeiter</w:t>
      </w:r>
      <w:r>
        <w:t xml:space="preserve"> i</w:t>
      </w:r>
      <w:r w:rsidR="00892E10">
        <w:t xml:space="preserve">n </w:t>
      </w:r>
      <w:r>
        <w:t>d</w:t>
      </w:r>
      <w:r w:rsidR="00892E10">
        <w:t xml:space="preserve">er </w:t>
      </w:r>
      <w:r>
        <w:t>R</w:t>
      </w:r>
      <w:r w:rsidR="00892E10">
        <w:t>egel</w:t>
      </w:r>
      <w:r>
        <w:t xml:space="preserve"> eine </w:t>
      </w:r>
      <w:r w:rsidRPr="00597ECF">
        <w:rPr>
          <w:b/>
          <w:bCs/>
        </w:rPr>
        <w:t>14-tägige Kündigungsfrist</w:t>
      </w:r>
      <w:r w:rsidR="00E00D1E">
        <w:t>.</w:t>
      </w:r>
      <w:r>
        <w:t xml:space="preserve"> Kündigungsfrist und </w:t>
      </w:r>
      <w:r w:rsidR="00E00D1E">
        <w:t>-t</w:t>
      </w:r>
      <w:r>
        <w:t xml:space="preserve">ermin sind in den </w:t>
      </w:r>
      <w:r w:rsidRPr="00597ECF">
        <w:rPr>
          <w:b/>
          <w:bCs/>
        </w:rPr>
        <w:t>Kollektivverträgen</w:t>
      </w:r>
      <w:r>
        <w:t xml:space="preserve"> </w:t>
      </w:r>
      <w:r w:rsidRPr="00E00D1E">
        <w:rPr>
          <w:b/>
          <w:bCs/>
        </w:rPr>
        <w:t>oder in den Dienstverträgen</w:t>
      </w:r>
      <w:r>
        <w:t xml:space="preserve"> geregelt.</w:t>
      </w:r>
    </w:p>
    <w:p w14:paraId="53F82F87" w14:textId="17A5988C" w:rsidR="0015233D" w:rsidRDefault="00597ECF" w:rsidP="00A175F6">
      <w:pPr>
        <w:spacing w:line="276" w:lineRule="auto"/>
        <w:jc w:val="both"/>
      </w:pPr>
      <w:r>
        <w:br/>
        <w:t xml:space="preserve">Die Regelungen für </w:t>
      </w:r>
      <w:r w:rsidRPr="00597ECF">
        <w:rPr>
          <w:b/>
          <w:bCs/>
        </w:rPr>
        <w:t>Angestellte</w:t>
      </w:r>
      <w:r>
        <w:t xml:space="preserve"> finden sich im </w:t>
      </w:r>
      <w:r w:rsidRPr="00597ECF">
        <w:rPr>
          <w:b/>
          <w:bCs/>
        </w:rPr>
        <w:t>Angestelltengesetz</w:t>
      </w:r>
      <w:r>
        <w:t xml:space="preserve"> und sehen für den Kündigungstermin i</w:t>
      </w:r>
      <w:r w:rsidR="00892E10">
        <w:t xml:space="preserve">n </w:t>
      </w:r>
      <w:r>
        <w:t>d</w:t>
      </w:r>
      <w:r w:rsidR="00892E10">
        <w:t xml:space="preserve">er </w:t>
      </w:r>
      <w:r>
        <w:t>R</w:t>
      </w:r>
      <w:r w:rsidR="00892E10">
        <w:t>egel</w:t>
      </w:r>
      <w:r>
        <w:t xml:space="preserve"> den </w:t>
      </w:r>
      <w:r w:rsidRPr="00E55A93">
        <w:rPr>
          <w:b/>
          <w:bCs/>
        </w:rPr>
        <w:t>Quartalsletzten</w:t>
      </w:r>
      <w:r>
        <w:t xml:space="preserve"> vor, wobei abweichend davon auch der 15. oder Letzte des Kalendermonats im Arbeitsvertrag, Betriebsvereinbarung oder Kollektivvertrag vereinbart sein</w:t>
      </w:r>
      <w:r w:rsidR="00015E82">
        <w:t xml:space="preserve"> kann</w:t>
      </w:r>
      <w:r>
        <w:t xml:space="preserve">. Im Falle einer </w:t>
      </w:r>
      <w:r w:rsidRPr="00E55A93">
        <w:t>Arbeitgeberkündigung</w:t>
      </w:r>
      <w:r>
        <w:t xml:space="preserve"> bemisst sich die </w:t>
      </w:r>
      <w:r w:rsidRPr="00E55A93">
        <w:rPr>
          <w:b/>
          <w:bCs/>
        </w:rPr>
        <w:t>Kündigungsfrist abhängig von der Betriebszugehörigkeit des Angestellten zwischen 6 Wochen (im 1. und 2. Dienstjahr) und 5 Monaten (ab dem 26. Dienstjahr).</w:t>
      </w:r>
      <w:r>
        <w:t xml:space="preserve"> Dienstnehmerkündigungen können unter Einhaltung einer einmonatigen Kündigungsfrist</w:t>
      </w:r>
      <w:r w:rsidR="0015233D">
        <w:t xml:space="preserve"> zum Letzten des Kalendermonats erfolgen. </w:t>
      </w:r>
    </w:p>
    <w:p w14:paraId="46D9E669" w14:textId="77777777" w:rsidR="00B351C3" w:rsidRDefault="00B351C3" w:rsidP="00A175F6">
      <w:pPr>
        <w:spacing w:line="276" w:lineRule="auto"/>
        <w:jc w:val="both"/>
      </w:pPr>
    </w:p>
    <w:p w14:paraId="17732985" w14:textId="28ED1201" w:rsidR="0015233D" w:rsidRDefault="0015233D" w:rsidP="00A175F6">
      <w:pPr>
        <w:spacing w:line="276" w:lineRule="auto"/>
        <w:jc w:val="both"/>
      </w:pPr>
      <w:r>
        <w:t xml:space="preserve">Mit dem Inkrafttreten der Angleichung gelten dann für Arbeiter dieselben Kündigungsfristen und -termine wie für Angestellte. Die teilweise deutlich längeren Kündigungsfristen verursachen höhere Kosten, wobei </w:t>
      </w:r>
      <w:r w:rsidR="00E00D1E">
        <w:t xml:space="preserve">auch </w:t>
      </w:r>
      <w:r>
        <w:t>auf die Urlaubsersatzleitung für n</w:t>
      </w:r>
      <w:r w:rsidR="00E00D1E">
        <w:t>i</w:t>
      </w:r>
      <w:r>
        <w:t>cht konsumierte aliquote Urlaub</w:t>
      </w:r>
      <w:r w:rsidR="00015E82">
        <w:t>e</w:t>
      </w:r>
      <w:r>
        <w:t xml:space="preserve"> bis zum Kündigungstermin nicht </w:t>
      </w:r>
      <w:r w:rsidR="00E00D1E">
        <w:t>vergessen werden darf. Damit empfiehlt sich</w:t>
      </w:r>
      <w:r w:rsidR="00B351C3">
        <w:t xml:space="preserve"> für neue, aber auch bestehende Arbeitsverträge von Arbeitern von der gesetzlichen Möglichkeit Gebrauch zu machen, den 15. </w:t>
      </w:r>
      <w:r w:rsidR="007B2D91">
        <w:t>u</w:t>
      </w:r>
      <w:r w:rsidR="00B351C3">
        <w:t xml:space="preserve">nd </w:t>
      </w:r>
      <w:r w:rsidR="007B2D91">
        <w:t>L</w:t>
      </w:r>
      <w:r w:rsidR="00B351C3">
        <w:t>etzten eines Kalendermonats zusätzlich als Kündigungstermin zu vereinbaren.</w:t>
      </w:r>
    </w:p>
    <w:p w14:paraId="6DF97DA4" w14:textId="77777777" w:rsidR="00597ECF" w:rsidRPr="00597ECF" w:rsidRDefault="00597ECF" w:rsidP="00A175F6">
      <w:pPr>
        <w:jc w:val="both"/>
      </w:pPr>
    </w:p>
    <w:p w14:paraId="7912C067" w14:textId="6AC8302E" w:rsidR="00C76FE1" w:rsidRDefault="00C76FE1" w:rsidP="00A175F6">
      <w:pPr>
        <w:pStyle w:val="berschrift2"/>
        <w:jc w:val="both"/>
      </w:pPr>
      <w:r>
        <w:t>Ratenzahlung</w:t>
      </w:r>
      <w:r w:rsidR="00242098">
        <w:t>svereinbarung</w:t>
      </w:r>
      <w:r>
        <w:t xml:space="preserve"> bei</w:t>
      </w:r>
      <w:r w:rsidR="007B2D91">
        <w:t xml:space="preserve"> der</w:t>
      </w:r>
      <w:r>
        <w:t xml:space="preserve"> ÖGK</w:t>
      </w:r>
    </w:p>
    <w:p w14:paraId="3C73F163" w14:textId="29D88A81" w:rsidR="00242098" w:rsidRPr="00E11661" w:rsidRDefault="00242098" w:rsidP="00A175F6">
      <w:pPr>
        <w:spacing w:line="276" w:lineRule="auto"/>
        <w:jc w:val="both"/>
      </w:pPr>
      <w:r>
        <w:t xml:space="preserve">Grundsätzlich sind die aufgrund der COVID-19-Pandemie aufgelaufenen </w:t>
      </w:r>
      <w:r w:rsidRPr="00995DC6">
        <w:rPr>
          <w:b/>
          <w:bCs/>
        </w:rPr>
        <w:t>Beitragsrückstände</w:t>
      </w:r>
      <w:r>
        <w:t xml:space="preserve"> aus den </w:t>
      </w:r>
      <w:r w:rsidRPr="00E11661">
        <w:t xml:space="preserve">Beitragszeiträumen Februar 2020 bis Mai 2021 </w:t>
      </w:r>
      <w:r w:rsidRPr="00995DC6">
        <w:rPr>
          <w:b/>
          <w:bCs/>
        </w:rPr>
        <w:t>bis spätestens 30.6.2021 zu begleichen</w:t>
      </w:r>
      <w:r w:rsidRPr="00E11661">
        <w:t>.</w:t>
      </w:r>
      <w:r w:rsidR="00E11661">
        <w:t xml:space="preserve"> Eine tagesaktuelle Kontoinformation k</w:t>
      </w:r>
      <w:r w:rsidR="00BD08B7">
        <w:t>önnen</w:t>
      </w:r>
      <w:r w:rsidR="00B351C3">
        <w:t xml:space="preserve"> </w:t>
      </w:r>
      <w:r w:rsidR="00E11661">
        <w:t>wir für Sie über das Web-Portal WEBEKU jederzeit abrufen.</w:t>
      </w:r>
    </w:p>
    <w:p w14:paraId="564E532B" w14:textId="15D9704A" w:rsidR="00597ECF" w:rsidRPr="00E11661" w:rsidRDefault="00597ECF" w:rsidP="00A175F6">
      <w:pPr>
        <w:spacing w:line="276" w:lineRule="auto"/>
        <w:jc w:val="both"/>
      </w:pPr>
    </w:p>
    <w:p w14:paraId="51B58E4A" w14:textId="2F542051" w:rsidR="00597ECF" w:rsidRPr="00E11661" w:rsidRDefault="00E11661" w:rsidP="00A175F6">
      <w:pPr>
        <w:spacing w:line="276" w:lineRule="auto"/>
        <w:jc w:val="both"/>
        <w:rPr>
          <w:b/>
          <w:bCs/>
        </w:rPr>
      </w:pPr>
      <w:r w:rsidRPr="00E11661">
        <w:rPr>
          <w:b/>
          <w:bCs/>
        </w:rPr>
        <w:t>Elektronische Ratenanträge ab dem 1.6.2021</w:t>
      </w:r>
    </w:p>
    <w:p w14:paraId="496890D4" w14:textId="73463E0B" w:rsidR="00E11661" w:rsidRDefault="00E11661" w:rsidP="00A175F6">
      <w:pPr>
        <w:spacing w:line="276" w:lineRule="auto"/>
        <w:jc w:val="both"/>
      </w:pPr>
      <w:r>
        <w:t xml:space="preserve">Ist trotz intensiver Bemühung eine Begleichung der Beitragsrückstände bis zum 30.6.2021 nicht möglich, können Ratenvereinbarungen vorerst (Phase 1) </w:t>
      </w:r>
      <w:r w:rsidRPr="00E11661">
        <w:rPr>
          <w:b/>
          <w:bCs/>
        </w:rPr>
        <w:t xml:space="preserve">bis zum 30.9.2022 </w:t>
      </w:r>
      <w:r w:rsidRPr="00E11661">
        <w:t>(über 15 Monate) getroffen werden.</w:t>
      </w:r>
      <w:r>
        <w:t xml:space="preserve"> Die Anträge sind elektronisch über WEBEKU zu stellen. Sollten danach noch Beitragsrückstände offen sein, können diese in einer Phase 2 beglichen werden.</w:t>
      </w:r>
    </w:p>
    <w:p w14:paraId="45A0C6A5" w14:textId="77777777" w:rsidR="0016763A" w:rsidRDefault="0016763A" w:rsidP="00A175F6">
      <w:pPr>
        <w:spacing w:line="276" w:lineRule="auto"/>
        <w:jc w:val="both"/>
        <w:rPr>
          <w:b/>
          <w:bCs/>
        </w:rPr>
      </w:pPr>
    </w:p>
    <w:p w14:paraId="3D992924" w14:textId="1379E05B" w:rsidR="00E11661" w:rsidRDefault="00E11661" w:rsidP="00A175F6">
      <w:pPr>
        <w:spacing w:line="276" w:lineRule="auto"/>
        <w:jc w:val="both"/>
        <w:rPr>
          <w:b/>
          <w:bCs/>
        </w:rPr>
      </w:pPr>
      <w:r w:rsidRPr="00E11661">
        <w:rPr>
          <w:b/>
          <w:bCs/>
        </w:rPr>
        <w:t>Online-Ratenrechner</w:t>
      </w:r>
    </w:p>
    <w:p w14:paraId="033D18F9" w14:textId="39AC77FD" w:rsidR="00E11661" w:rsidRDefault="0016763A" w:rsidP="00A175F6">
      <w:pPr>
        <w:spacing w:line="276" w:lineRule="auto"/>
        <w:jc w:val="both"/>
      </w:pPr>
      <w:r w:rsidRPr="0016763A">
        <w:t>Auf der Website der ÖGK findet sich ein Online-Ratenrechner, der ein</w:t>
      </w:r>
      <w:r w:rsidR="00015E82">
        <w:t>e</w:t>
      </w:r>
      <w:r w:rsidRPr="0016763A">
        <w:t xml:space="preserve"> unverbindliche Berechnung der m</w:t>
      </w:r>
      <w:r>
        <w:t>o</w:t>
      </w:r>
      <w:r w:rsidRPr="0016763A">
        <w:t>n</w:t>
      </w:r>
      <w:r>
        <w:t>a</w:t>
      </w:r>
      <w:r w:rsidRPr="0016763A">
        <w:t>tlich anfallen</w:t>
      </w:r>
      <w:r>
        <w:t xml:space="preserve"> R</w:t>
      </w:r>
      <w:r w:rsidRPr="0016763A">
        <w:t xml:space="preserve">aten sowie der reduzierten Verzugszinsen </w:t>
      </w:r>
      <w:proofErr w:type="gramStart"/>
      <w:r w:rsidRPr="0016763A">
        <w:t>ermöglicht.</w:t>
      </w:r>
      <w:r>
        <w:t>(</w:t>
      </w:r>
      <w:proofErr w:type="gramEnd"/>
      <w:r w:rsidR="006978C9">
        <w:fldChar w:fldCharType="begin"/>
      </w:r>
      <w:r w:rsidR="006978C9">
        <w:instrText xml:space="preserve"> HYPERLINK "http://www.gesundheitskasse.at/ratenrechner" </w:instrText>
      </w:r>
      <w:r w:rsidR="006978C9">
        <w:fldChar w:fldCharType="separate"/>
      </w:r>
      <w:r w:rsidRPr="0016763A">
        <w:rPr>
          <w:rStyle w:val="Hyperlink"/>
        </w:rPr>
        <w:t>www.gesundheitskasse.at/ratenrechner</w:t>
      </w:r>
      <w:r w:rsidR="006978C9">
        <w:rPr>
          <w:rStyle w:val="Hyperlink"/>
        </w:rPr>
        <w:fldChar w:fldCharType="end"/>
      </w:r>
      <w:r w:rsidRPr="0016763A">
        <w:t>)</w:t>
      </w:r>
      <w:r w:rsidR="00B351C3">
        <w:t>. Die Verzugszinsen betragen in der Phase 1 1,38 % (statt 3,38 %).</w:t>
      </w:r>
    </w:p>
    <w:p w14:paraId="2220F1EF" w14:textId="77777777" w:rsidR="0016763A" w:rsidRDefault="0016763A" w:rsidP="00A175F6">
      <w:pPr>
        <w:spacing w:line="276" w:lineRule="auto"/>
        <w:jc w:val="both"/>
      </w:pPr>
    </w:p>
    <w:p w14:paraId="2ED6FF04" w14:textId="3653D644" w:rsidR="0016763A" w:rsidRDefault="00980606" w:rsidP="00A175F6">
      <w:pPr>
        <w:spacing w:line="276" w:lineRule="auto"/>
        <w:jc w:val="both"/>
      </w:pPr>
      <w:r>
        <w:lastRenderedPageBreak/>
        <w:t xml:space="preserve">In </w:t>
      </w:r>
      <w:r w:rsidR="0016763A">
        <w:t>der sogenannten “</w:t>
      </w:r>
      <w:proofErr w:type="spellStart"/>
      <w:r w:rsidR="0016763A" w:rsidRPr="0016763A">
        <w:rPr>
          <w:b/>
          <w:bCs/>
        </w:rPr>
        <w:t>Safty</w:t>
      </w:r>
      <w:proofErr w:type="spellEnd"/>
      <w:r w:rsidR="0016763A" w:rsidRPr="0016763A">
        <w:rPr>
          <w:b/>
          <w:bCs/>
        </w:rPr>
        <w:t>-Car“-Phase</w:t>
      </w:r>
      <w:r w:rsidR="0016763A">
        <w:t xml:space="preserve"> besteht für den Dienstgeber</w:t>
      </w:r>
      <w:r w:rsidR="00CF01CA">
        <w:t xml:space="preserve"> die Möglichkeit</w:t>
      </w:r>
      <w:r w:rsidR="00C16686">
        <w:t xml:space="preserve"> individuelle Lösungen mit der Ö</w:t>
      </w:r>
      <w:r w:rsidR="0084369E">
        <w:t>GK zu vereinbaren</w:t>
      </w:r>
      <w:r w:rsidR="00E607EE">
        <w:t xml:space="preserve">, wobei </w:t>
      </w:r>
      <w:r w:rsidR="0016763A" w:rsidRPr="0016763A">
        <w:rPr>
          <w:b/>
          <w:bCs/>
        </w:rPr>
        <w:t xml:space="preserve">bis 30.9.2021 </w:t>
      </w:r>
      <w:r w:rsidR="00692511">
        <w:rPr>
          <w:b/>
          <w:bCs/>
        </w:rPr>
        <w:t xml:space="preserve">eine </w:t>
      </w:r>
      <w:r w:rsidR="00FC71B6">
        <w:rPr>
          <w:b/>
          <w:bCs/>
        </w:rPr>
        <w:t>R</w:t>
      </w:r>
      <w:r w:rsidR="00692511">
        <w:rPr>
          <w:b/>
          <w:bCs/>
        </w:rPr>
        <w:t xml:space="preserve">eduktion </w:t>
      </w:r>
      <w:r w:rsidR="00841F3B">
        <w:rPr>
          <w:b/>
          <w:bCs/>
        </w:rPr>
        <w:t xml:space="preserve">der </w:t>
      </w:r>
      <w:r w:rsidR="0016763A" w:rsidRPr="0016763A">
        <w:rPr>
          <w:b/>
          <w:bCs/>
        </w:rPr>
        <w:t xml:space="preserve">ersten Raten auf </w:t>
      </w:r>
      <w:r w:rsidR="00DF3079" w:rsidRPr="0016763A">
        <w:rPr>
          <w:b/>
          <w:bCs/>
        </w:rPr>
        <w:t>null</w:t>
      </w:r>
      <w:r w:rsidR="0016763A" w:rsidRPr="0016763A">
        <w:rPr>
          <w:b/>
          <w:bCs/>
        </w:rPr>
        <w:t xml:space="preserve"> </w:t>
      </w:r>
      <w:r w:rsidR="0016763A">
        <w:t xml:space="preserve">Euro </w:t>
      </w:r>
      <w:r w:rsidR="00841F3B">
        <w:t>möglich ist.</w:t>
      </w:r>
    </w:p>
    <w:p w14:paraId="2318168B" w14:textId="6E259E3F" w:rsidR="0016763A" w:rsidRDefault="0016763A" w:rsidP="00A175F6">
      <w:pPr>
        <w:spacing w:line="276" w:lineRule="auto"/>
        <w:jc w:val="both"/>
      </w:pPr>
    </w:p>
    <w:p w14:paraId="3434C93A" w14:textId="6DC59A3A" w:rsidR="0016763A" w:rsidRPr="00995DC6" w:rsidRDefault="0016763A" w:rsidP="00A175F6">
      <w:pPr>
        <w:spacing w:line="276" w:lineRule="auto"/>
        <w:jc w:val="both"/>
        <w:rPr>
          <w:b/>
          <w:bCs/>
        </w:rPr>
      </w:pPr>
      <w:r w:rsidRPr="00995DC6">
        <w:rPr>
          <w:b/>
          <w:bCs/>
        </w:rPr>
        <w:t>Ratenzahlung und Kurzarbeit</w:t>
      </w:r>
    </w:p>
    <w:p w14:paraId="0103722F" w14:textId="12E0C2AD" w:rsidR="0016763A" w:rsidRPr="0016763A" w:rsidRDefault="0016763A" w:rsidP="00A175F6">
      <w:pPr>
        <w:spacing w:line="276" w:lineRule="auto"/>
        <w:jc w:val="both"/>
      </w:pPr>
      <w:r>
        <w:t xml:space="preserve">Zu beachten ist, dass Ratenzahlungen nur dann gewährt werden können, wenn die </w:t>
      </w:r>
      <w:r w:rsidRPr="00995DC6">
        <w:rPr>
          <w:b/>
          <w:bCs/>
        </w:rPr>
        <w:t>in der Kur</w:t>
      </w:r>
      <w:r w:rsidR="007B2D91">
        <w:rPr>
          <w:b/>
          <w:bCs/>
        </w:rPr>
        <w:t>z</w:t>
      </w:r>
      <w:r w:rsidRPr="00995DC6">
        <w:rPr>
          <w:b/>
          <w:bCs/>
        </w:rPr>
        <w:t>arbeitsbeihilfe enthaltenen Sozialversicherungsbeiträge jedenfalls bis zum 15.</w:t>
      </w:r>
      <w:r>
        <w:t xml:space="preserve"> des auf die Zahlung zweitfolgenden Kalendermonats </w:t>
      </w:r>
      <w:r w:rsidR="00995DC6" w:rsidRPr="00995DC6">
        <w:rPr>
          <w:b/>
          <w:bCs/>
        </w:rPr>
        <w:t>überwiesen</w:t>
      </w:r>
      <w:r w:rsidR="00995DC6">
        <w:t xml:space="preserve"> werden. Dies gilt auch bei Kostenerstattung bei freigestellten „Risikopatienten“ sowie im Rahmen von Absonderungen nach dem Epidemiegesetz.</w:t>
      </w:r>
    </w:p>
    <w:p w14:paraId="7221C441" w14:textId="011E6FA4" w:rsidR="0016763A" w:rsidRDefault="0016763A" w:rsidP="00A175F6">
      <w:pPr>
        <w:spacing w:line="276" w:lineRule="auto"/>
        <w:jc w:val="both"/>
      </w:pPr>
    </w:p>
    <w:p w14:paraId="07ADAA21" w14:textId="53CBAF45" w:rsidR="00995DC6" w:rsidRDefault="00995DC6" w:rsidP="00A175F6">
      <w:pPr>
        <w:spacing w:line="276" w:lineRule="auto"/>
        <w:jc w:val="both"/>
      </w:pPr>
      <w:r w:rsidRPr="00995DC6">
        <w:rPr>
          <w:b/>
          <w:bCs/>
        </w:rPr>
        <w:t>Beitragszeitraum ab</w:t>
      </w:r>
      <w:r>
        <w:t xml:space="preserve"> </w:t>
      </w:r>
      <w:r w:rsidRPr="00995DC6">
        <w:rPr>
          <w:b/>
          <w:bCs/>
        </w:rPr>
        <w:t>Juni 2021</w:t>
      </w:r>
    </w:p>
    <w:p w14:paraId="18E22CEC" w14:textId="223487AD" w:rsidR="00C76FE1" w:rsidRDefault="002627C9" w:rsidP="00A175F6">
      <w:pPr>
        <w:spacing w:line="276" w:lineRule="auto"/>
        <w:jc w:val="both"/>
      </w:pPr>
      <w:r>
        <w:t xml:space="preserve">Für </w:t>
      </w:r>
      <w:r w:rsidR="00995DC6">
        <w:t>Beitragszeitr</w:t>
      </w:r>
      <w:r w:rsidR="007609E8">
        <w:t>ä</w:t>
      </w:r>
      <w:r w:rsidR="00995DC6">
        <w:t>um</w:t>
      </w:r>
      <w:r w:rsidR="007609E8">
        <w:t>e ab</w:t>
      </w:r>
      <w:r w:rsidR="00995DC6">
        <w:t xml:space="preserve"> </w:t>
      </w:r>
      <w:r w:rsidR="00995DC6" w:rsidRPr="00995DC6">
        <w:rPr>
          <w:b/>
          <w:bCs/>
        </w:rPr>
        <w:t xml:space="preserve">Juni 2021 </w:t>
      </w:r>
      <w:r w:rsidR="005D1052" w:rsidRPr="00C66AFA">
        <w:t>sind</w:t>
      </w:r>
      <w:r w:rsidR="005D1052">
        <w:rPr>
          <w:b/>
          <w:bCs/>
        </w:rPr>
        <w:t xml:space="preserve"> </w:t>
      </w:r>
      <w:r w:rsidR="00995DC6" w:rsidRPr="00995DC6">
        <w:rPr>
          <w:b/>
          <w:bCs/>
        </w:rPr>
        <w:t>die laufenden Beiträge</w:t>
      </w:r>
      <w:r w:rsidR="00995DC6">
        <w:t xml:space="preserve"> wieder wie gewohnt jeweils </w:t>
      </w:r>
      <w:r w:rsidR="00995DC6" w:rsidRPr="00995DC6">
        <w:rPr>
          <w:b/>
          <w:bCs/>
        </w:rPr>
        <w:t xml:space="preserve">bis zum 15. </w:t>
      </w:r>
      <w:r w:rsidR="00995DC6">
        <w:rPr>
          <w:b/>
          <w:bCs/>
        </w:rPr>
        <w:t>d</w:t>
      </w:r>
      <w:r w:rsidR="00995DC6" w:rsidRPr="00995DC6">
        <w:rPr>
          <w:b/>
          <w:bCs/>
        </w:rPr>
        <w:t xml:space="preserve">es Folgemonats </w:t>
      </w:r>
      <w:r w:rsidR="005F25FE">
        <w:t>neben den vereinbarten Ratenzahlungen</w:t>
      </w:r>
      <w:r w:rsidR="00791920">
        <w:t xml:space="preserve"> </w:t>
      </w:r>
      <w:r w:rsidR="00995DC6" w:rsidRPr="00995DC6">
        <w:rPr>
          <w:b/>
          <w:bCs/>
        </w:rPr>
        <w:t>zu entrichten</w:t>
      </w:r>
      <w:r w:rsidR="001B5BAE">
        <w:rPr>
          <w:b/>
          <w:bCs/>
        </w:rPr>
        <w:t>.</w:t>
      </w:r>
      <w:r w:rsidR="00995DC6">
        <w:t xml:space="preserve"> </w:t>
      </w:r>
    </w:p>
    <w:p w14:paraId="5445C373" w14:textId="77777777" w:rsidR="00DF3079" w:rsidRDefault="00DF3079" w:rsidP="00A175F6">
      <w:pPr>
        <w:spacing w:line="276" w:lineRule="auto"/>
        <w:jc w:val="both"/>
      </w:pPr>
    </w:p>
    <w:p w14:paraId="28414594" w14:textId="2FCB74F4" w:rsidR="00995DC6" w:rsidRPr="00DF3079" w:rsidRDefault="00995DC6" w:rsidP="00DF3079">
      <w:pPr>
        <w:pStyle w:val="berschrift2"/>
        <w:jc w:val="both"/>
      </w:pPr>
      <w:r w:rsidRPr="00DF3079">
        <w:t>Sondermahnung der SVS</w:t>
      </w:r>
    </w:p>
    <w:p w14:paraId="32B94923" w14:textId="7526B739" w:rsidR="00946F61" w:rsidRDefault="00995DC6" w:rsidP="00DF3079">
      <w:pPr>
        <w:pStyle w:val="berschrift2"/>
        <w:numPr>
          <w:ilvl w:val="0"/>
          <w:numId w:val="0"/>
        </w:numPr>
        <w:spacing w:line="276" w:lineRule="auto"/>
        <w:jc w:val="both"/>
        <w:rPr>
          <w:rFonts w:cs="Arial"/>
          <w:color w:val="475256"/>
          <w:sz w:val="23"/>
          <w:szCs w:val="23"/>
          <w:lang w:eastAsia="de-AT"/>
        </w:rPr>
      </w:pPr>
      <w:r w:rsidRPr="00DF3079">
        <w:rPr>
          <w:b w:val="0"/>
          <w:bCs/>
        </w:rPr>
        <w:t xml:space="preserve">Auch für Selbständige und Gewerbetreibende haben sich in der Coronakrise Beitragsrückstände angesammelt. Derzeit werden </w:t>
      </w:r>
      <w:r w:rsidR="005E4E77" w:rsidRPr="00DF3079">
        <w:rPr>
          <w:b w:val="0"/>
          <w:bCs/>
        </w:rPr>
        <w:t>S</w:t>
      </w:r>
      <w:r w:rsidRPr="00DF3079">
        <w:rPr>
          <w:b w:val="0"/>
          <w:bCs/>
        </w:rPr>
        <w:t>ondermahnungen versendet, die auf den</w:t>
      </w:r>
      <w:r w:rsidR="005E4E77" w:rsidRPr="00DF3079">
        <w:rPr>
          <w:b w:val="0"/>
          <w:bCs/>
        </w:rPr>
        <w:t xml:space="preserve"> </w:t>
      </w:r>
      <w:r w:rsidRPr="00DF3079">
        <w:rPr>
          <w:b w:val="0"/>
          <w:bCs/>
        </w:rPr>
        <w:t xml:space="preserve">negativen Beitragssaldo hinweisen. Zur Vermeidung von Eintreibungsmaßnahmen </w:t>
      </w:r>
      <w:r w:rsidR="004C58DD">
        <w:rPr>
          <w:b w:val="0"/>
          <w:bCs/>
        </w:rPr>
        <w:t xml:space="preserve">ab Juli 2021 </w:t>
      </w:r>
      <w:r w:rsidRPr="00DF3079">
        <w:rPr>
          <w:b w:val="0"/>
          <w:bCs/>
        </w:rPr>
        <w:t>besteht die Möglichkeit mit der SVS eine</w:t>
      </w:r>
      <w:r w:rsidR="00110309">
        <w:rPr>
          <w:b w:val="0"/>
          <w:bCs/>
        </w:rPr>
        <w:t xml:space="preserve"> </w:t>
      </w:r>
      <w:r w:rsidRPr="00DF3079">
        <w:rPr>
          <w:b w:val="0"/>
          <w:bCs/>
        </w:rPr>
        <w:t>Ratenvereinbarung zu treffen.</w:t>
      </w:r>
      <w:r w:rsidR="005E4E77" w:rsidRPr="00DF3079">
        <w:rPr>
          <w:b w:val="0"/>
          <w:bCs/>
        </w:rPr>
        <w:t xml:space="preserve"> Die monatlichen, quartalsweisen oder halbjährlichen Raten verteilen sich auf eine Laufzeit bis maximal 30.6.2023. </w:t>
      </w:r>
    </w:p>
    <w:p w14:paraId="6C12A9F2" w14:textId="6B921DB3" w:rsidR="00DF3079" w:rsidRPr="00DF3079" w:rsidRDefault="00946F61" w:rsidP="00DF3079">
      <w:pPr>
        <w:pStyle w:val="berschrift2"/>
        <w:numPr>
          <w:ilvl w:val="0"/>
          <w:numId w:val="0"/>
        </w:numPr>
        <w:spacing w:line="276" w:lineRule="auto"/>
        <w:jc w:val="both"/>
        <w:rPr>
          <w:b w:val="0"/>
          <w:bCs/>
        </w:rPr>
      </w:pPr>
      <w:r w:rsidRPr="00946F61">
        <w:rPr>
          <w:b w:val="0"/>
          <w:bCs/>
        </w:rPr>
        <w:t>Ab dem 19. Tag nach der erstmaligen Fälligkeit der Beiträge sind aufgrund der gesetzlichen Bestimmungen für unbezahlte Beiträge Verzugszinsen im Ausmaß von 3,38 % pa (Zinssatz im Jahr 2021) zu verrechnen/vorzuschreiben. Die Genehmigung einer Zahlungsvereinbarung unterbricht/beendet die weitere Verrechnung von Verzugszinsen nicht</w:t>
      </w:r>
      <w:r>
        <w:rPr>
          <w:b w:val="0"/>
          <w:bCs/>
        </w:rPr>
        <w:t>.</w:t>
      </w:r>
    </w:p>
    <w:p w14:paraId="086BB1C6" w14:textId="7695CE27" w:rsidR="009C0BCB" w:rsidRDefault="009C0BCB" w:rsidP="00DF3079">
      <w:pPr>
        <w:pStyle w:val="berschrift2"/>
        <w:numPr>
          <w:ilvl w:val="0"/>
          <w:numId w:val="0"/>
        </w:numPr>
        <w:jc w:val="both"/>
      </w:pPr>
      <w:r>
        <w:t xml:space="preserve"> </w:t>
      </w:r>
    </w:p>
    <w:p w14:paraId="05A8675A" w14:textId="6F53CAD9" w:rsidR="009D0E82" w:rsidRDefault="00183D18" w:rsidP="00DF3079">
      <w:pPr>
        <w:pStyle w:val="berschrift2"/>
        <w:jc w:val="both"/>
        <w:rPr>
          <w:rFonts w:cs="Arial"/>
          <w:bCs/>
        </w:rPr>
      </w:pPr>
      <w:bookmarkStart w:id="7" w:name="_Toc57539065"/>
      <w:bookmarkEnd w:id="4"/>
      <w:r w:rsidRPr="00183D18">
        <w:rPr>
          <w:rFonts w:cs="Arial"/>
          <w:bCs/>
        </w:rPr>
        <w:t>Ratenzahlungsvereinbarungen beim Finanzamt</w:t>
      </w:r>
    </w:p>
    <w:p w14:paraId="07E7B602" w14:textId="096B754A" w:rsidR="00183D18" w:rsidRPr="00DF3079" w:rsidRDefault="003D37FB" w:rsidP="00DF3079">
      <w:pPr>
        <w:pStyle w:val="berschrift2"/>
        <w:numPr>
          <w:ilvl w:val="0"/>
          <w:numId w:val="0"/>
        </w:numPr>
        <w:spacing w:line="276" w:lineRule="auto"/>
        <w:jc w:val="both"/>
        <w:rPr>
          <w:rFonts w:cs="Arial"/>
          <w:b w:val="0"/>
          <w:bCs/>
        </w:rPr>
      </w:pPr>
      <w:r w:rsidRPr="00DF3079">
        <w:rPr>
          <w:rFonts w:cs="Arial"/>
          <w:b w:val="0"/>
          <w:bCs/>
        </w:rPr>
        <w:t xml:space="preserve">In Hinblick auf den Zahlungstermin 30.6.2021 hat das BMF in den letzten Tagen ein Informationsschreiben an alle Steuerpflichtigen mit mehr als </w:t>
      </w:r>
      <w:r w:rsidR="004C58DD">
        <w:rPr>
          <w:rFonts w:cs="Arial"/>
          <w:b w:val="0"/>
          <w:bCs/>
        </w:rPr>
        <w:t xml:space="preserve">€ </w:t>
      </w:r>
      <w:r w:rsidRPr="00DF3079">
        <w:rPr>
          <w:rFonts w:cs="Arial"/>
          <w:b w:val="0"/>
          <w:bCs/>
        </w:rPr>
        <w:t xml:space="preserve">100 Abgabenrückstand versandt, in dem die Möglichkeiten für Ratenzahlungen in zwei Phasen (ebenfalls mit einer Safety-Car-Phase für die Monate Juli, August und September 2021) detailliert dargestellt ist. Voraussetzung für die Inanspruchnahme dieses Modells ist es, dass mehr als die Hälfte des Abgabenrückstandes nach dem 15.3.2020 entstanden ist. </w:t>
      </w:r>
    </w:p>
    <w:p w14:paraId="1608F92D" w14:textId="60FFA31C" w:rsidR="003D37FB" w:rsidRPr="00DF3079" w:rsidRDefault="003D37FB" w:rsidP="00DF3079">
      <w:pPr>
        <w:pStyle w:val="berschrift2"/>
        <w:numPr>
          <w:ilvl w:val="0"/>
          <w:numId w:val="0"/>
        </w:numPr>
        <w:spacing w:line="276" w:lineRule="auto"/>
        <w:ind w:left="576" w:hanging="576"/>
        <w:jc w:val="both"/>
        <w:rPr>
          <w:rFonts w:cs="Arial"/>
          <w:b w:val="0"/>
          <w:bCs/>
        </w:rPr>
      </w:pPr>
      <w:r w:rsidRPr="00DF3079">
        <w:rPr>
          <w:rFonts w:cs="Arial"/>
          <w:b w:val="0"/>
          <w:bCs/>
        </w:rPr>
        <w:t>Ab 1.7.2021 betragen die Stundungszinsen bis 30.6.</w:t>
      </w:r>
      <w:r w:rsidR="000407AF" w:rsidRPr="00DF3079">
        <w:rPr>
          <w:rFonts w:cs="Arial"/>
          <w:b w:val="0"/>
          <w:bCs/>
        </w:rPr>
        <w:t>2024 1,38 % (statt 3,38%).</w:t>
      </w:r>
    </w:p>
    <w:bookmarkEnd w:id="7"/>
    <w:p w14:paraId="41F70261" w14:textId="11C939D3" w:rsidR="009D0E82" w:rsidRDefault="009D0E82" w:rsidP="004300A8">
      <w:pPr>
        <w:spacing w:line="276" w:lineRule="auto"/>
        <w:jc w:val="both"/>
        <w:rPr>
          <w:rFonts w:cs="Arial"/>
          <w:lang w:val="de-DE"/>
        </w:rPr>
      </w:pPr>
    </w:p>
    <w:p w14:paraId="6FBC0CF8" w14:textId="77777777" w:rsidR="00D176AF" w:rsidRDefault="00D176AF" w:rsidP="004300A8">
      <w:pPr>
        <w:spacing w:line="276" w:lineRule="auto"/>
        <w:jc w:val="both"/>
        <w:rPr>
          <w:rFonts w:cs="Arial"/>
          <w:lang w:val="de-DE"/>
        </w:rPr>
      </w:pPr>
    </w:p>
    <w:p w14:paraId="5ADF8F0E" w14:textId="167CA782" w:rsidR="00C76FE1" w:rsidRPr="00C76FE1" w:rsidRDefault="00C76FE1" w:rsidP="00C76FE1">
      <w:pPr>
        <w:pStyle w:val="berschrift1"/>
        <w:spacing w:line="276" w:lineRule="auto"/>
        <w:ind w:left="426" w:hanging="426"/>
        <w:jc w:val="both"/>
        <w:rPr>
          <w:caps/>
        </w:rPr>
      </w:pPr>
      <w:bookmarkStart w:id="8" w:name="_Toc43798405"/>
      <w:bookmarkStart w:id="9" w:name="_Toc74736885"/>
      <w:bookmarkStart w:id="10" w:name="_Hlk10632846"/>
      <w:bookmarkEnd w:id="2"/>
      <w:bookmarkEnd w:id="3"/>
      <w:r w:rsidRPr="00C76FE1">
        <w:rPr>
          <w:caps/>
        </w:rPr>
        <w:t>Aktuelle Judikatur</w:t>
      </w:r>
      <w:bookmarkEnd w:id="8"/>
      <w:bookmarkEnd w:id="9"/>
    </w:p>
    <w:p w14:paraId="0A80E6EF" w14:textId="5F8A5F4D" w:rsidR="00D176AF" w:rsidRPr="00E55A93" w:rsidRDefault="00D176AF" w:rsidP="00D176AF">
      <w:pPr>
        <w:pStyle w:val="Listenabsatz"/>
        <w:numPr>
          <w:ilvl w:val="0"/>
          <w:numId w:val="28"/>
        </w:numPr>
        <w:spacing w:line="276" w:lineRule="auto"/>
        <w:ind w:left="426" w:hanging="426"/>
        <w:jc w:val="both"/>
        <w:rPr>
          <w:b/>
          <w:bCs/>
        </w:rPr>
      </w:pPr>
      <w:r w:rsidRPr="00E55A93">
        <w:rPr>
          <w:b/>
          <w:bCs/>
        </w:rPr>
        <w:t>BFG: Kö</w:t>
      </w:r>
      <w:r>
        <w:rPr>
          <w:b/>
          <w:bCs/>
        </w:rPr>
        <w:t>rperschaftsteuer-</w:t>
      </w:r>
      <w:r w:rsidRPr="00E55A93">
        <w:rPr>
          <w:b/>
          <w:bCs/>
        </w:rPr>
        <w:t>Zuschlag bei ungenügender Empfängernennung auch im Betrugsfall</w:t>
      </w:r>
    </w:p>
    <w:p w14:paraId="0E280424" w14:textId="234FD3E3" w:rsidR="00D176AF" w:rsidRPr="0067582B" w:rsidRDefault="00D176AF" w:rsidP="00D176AF">
      <w:pPr>
        <w:spacing w:line="276" w:lineRule="auto"/>
        <w:ind w:left="426"/>
        <w:jc w:val="both"/>
      </w:pPr>
      <w:r>
        <w:t>Die Finanzverwaltung kann vom Steuerpflichtigen die genaue Benennung des Empfängers von betrieblich veranlassten Aufwendungen (insbesondere zB Provisionen) verlangen. Gelingt diese Empfängernennung nicht im erforderlichen Ausmaß, so wird der Betriebsausgabenabzug gestrichen und juristische Personen müssen überdies einen Zuschlag zur Körperschaftsteuer von 25% entrichten. Im BFG-Urteil wird erneut auf die erhöhte Mitwirkungspflicht bei Auslandsbeziehungen und auf eine Beweisvorsorgepflicht hingewiesen. Eine erhaltene Visitkarte und einige empfangene Emails alleine reichen für die Erfüllung dieser Verpflichtungen nicht aus. Selbst bei einem anzunehmenden Betrugsfall muss der Empfängernennung nachgekommen werden. Um dem vorzubeugen empfiehlt sich daher bei Aufnahme neuer (kritischer) Geschäftsbeziehungen Passkopien der Geschäftspartner und Unternehmensabfragen einzuholen.</w:t>
      </w:r>
    </w:p>
    <w:p w14:paraId="4D7FF6DC" w14:textId="77777777" w:rsidR="00C76FE1" w:rsidRPr="00C76FE1" w:rsidRDefault="00C76FE1" w:rsidP="00C76FE1">
      <w:pPr>
        <w:jc w:val="both"/>
      </w:pPr>
    </w:p>
    <w:p w14:paraId="0D4426D3" w14:textId="48805F64" w:rsidR="00C76FE1" w:rsidRPr="00A1023E" w:rsidRDefault="00C76FE1" w:rsidP="00C76FE1">
      <w:pPr>
        <w:pStyle w:val="Listenabsatz"/>
        <w:numPr>
          <w:ilvl w:val="0"/>
          <w:numId w:val="11"/>
        </w:numPr>
        <w:spacing w:after="200" w:line="276" w:lineRule="auto"/>
        <w:ind w:left="426" w:hanging="426"/>
        <w:contextualSpacing/>
        <w:jc w:val="both"/>
        <w:rPr>
          <w:rFonts w:cs="Arial"/>
          <w:b/>
          <w:lang w:val="de-DE"/>
        </w:rPr>
      </w:pPr>
      <w:r>
        <w:rPr>
          <w:rFonts w:cs="Arial"/>
          <w:b/>
          <w:lang w:val="de-DE"/>
        </w:rPr>
        <w:lastRenderedPageBreak/>
        <w:t>VwGH: ImmoESt-Befreiung bei durch Maßnahmen der Gemeinde ausgelöstem Grundstückstausch</w:t>
      </w:r>
      <w:r>
        <w:rPr>
          <w:rFonts w:cs="Arial"/>
          <w:lang w:val="de-DE"/>
        </w:rPr>
        <w:t xml:space="preserve"> </w:t>
      </w:r>
      <w:r w:rsidR="00A1023E">
        <w:rPr>
          <w:rFonts w:cs="Arial"/>
          <w:lang w:val="de-DE"/>
        </w:rPr>
        <w:br/>
      </w:r>
      <w:r>
        <w:rPr>
          <w:rFonts w:cs="Arial"/>
          <w:lang w:val="de-DE"/>
        </w:rPr>
        <w:t>Ein Eigentümer zweier länglicher Grundstücke musste im Zuge eines Straßenbaus der Gemeinde etwa rund 900 m² seiner Grundstücke an die Gemeinde unentgeltlich abtreten. Diese Abtretung hatte zur Folge, dass die (Rest-)Grundstücke zu schmal für eine Bebauung wurden. Der darauffolgende Tausch dieser unbebaubaren Grundstücke mit Grundstücken angrenzender Nachbarn für ein neues, bebaubares Grundstück wurde vom VwGH als steuerfrei angesehen, da dies zur besseren Gestaltung von Bauland diene und von einem öffentlichen Interesse (Straßenbau) ausgelöst wurde.</w:t>
      </w:r>
    </w:p>
    <w:p w14:paraId="1A4729F9" w14:textId="77777777" w:rsidR="00A1023E" w:rsidRPr="00D7638D" w:rsidRDefault="00A1023E" w:rsidP="00A1023E">
      <w:pPr>
        <w:pStyle w:val="Listenabsatz"/>
        <w:spacing w:after="200" w:line="276" w:lineRule="auto"/>
        <w:ind w:left="426"/>
        <w:contextualSpacing/>
        <w:jc w:val="both"/>
        <w:rPr>
          <w:rFonts w:cs="Arial"/>
          <w:b/>
          <w:lang w:val="de-DE"/>
        </w:rPr>
      </w:pPr>
    </w:p>
    <w:p w14:paraId="0A923436" w14:textId="7FD85471" w:rsidR="00C76FE1" w:rsidRPr="00A1023E" w:rsidRDefault="00C76FE1" w:rsidP="00A1023E">
      <w:pPr>
        <w:pStyle w:val="Listenabsatz"/>
        <w:numPr>
          <w:ilvl w:val="0"/>
          <w:numId w:val="11"/>
        </w:numPr>
        <w:spacing w:after="200" w:line="276" w:lineRule="auto"/>
        <w:ind w:left="426" w:hanging="426"/>
        <w:contextualSpacing/>
        <w:jc w:val="both"/>
        <w:rPr>
          <w:rFonts w:cs="Arial"/>
          <w:b/>
          <w:lang w:val="de-DE"/>
        </w:rPr>
      </w:pPr>
      <w:r>
        <w:rPr>
          <w:rFonts w:cs="Arial"/>
          <w:b/>
          <w:lang w:val="de-DE"/>
        </w:rPr>
        <w:t xml:space="preserve">VwGH: Schadenersatzzahlungen vom Arbeitnehmer an den Arbeitgeber steuerlich absetzbar </w:t>
      </w:r>
      <w:r w:rsidR="00A1023E">
        <w:rPr>
          <w:rFonts w:cs="Arial"/>
          <w:b/>
          <w:lang w:val="de-DE"/>
        </w:rPr>
        <w:br/>
      </w:r>
      <w:r>
        <w:rPr>
          <w:rFonts w:cs="Arial"/>
          <w:lang w:val="de-DE"/>
        </w:rPr>
        <w:t xml:space="preserve">Führt ein rechtswidriges Verhalten eines Arbeitnehmers dazu, dass über den Arbeitgeber eine Strafe verhängt wird und </w:t>
      </w:r>
      <w:r w:rsidR="009E39E9">
        <w:rPr>
          <w:rFonts w:cs="Arial"/>
          <w:lang w:val="de-DE"/>
        </w:rPr>
        <w:t>bezahlt der Arbeitnehmer Schadenersatz</w:t>
      </w:r>
      <w:r>
        <w:rPr>
          <w:rFonts w:cs="Arial"/>
          <w:lang w:val="de-DE"/>
        </w:rPr>
        <w:t xml:space="preserve">, so können die Schadenersatzzahlungen beim Arbeitnehmer als Werbungskosten geltend gemacht werden. </w:t>
      </w:r>
      <w:r w:rsidR="009E39E9">
        <w:rPr>
          <w:rFonts w:cs="Arial"/>
          <w:lang w:val="de-DE"/>
        </w:rPr>
        <w:t>Im vorliegenden Fall hatte sich der Arbeitnehmer wegen Mitwirkung an einem Kartellverstoß in einem Vergleich mit dem Arbeitgeber zu einer Schadenersatzzahlung verpflichtet. D</w:t>
      </w:r>
      <w:r>
        <w:rPr>
          <w:rFonts w:cs="Arial"/>
          <w:lang w:val="de-DE"/>
        </w:rPr>
        <w:t xml:space="preserve">ie Schadenersatzzahlung </w:t>
      </w:r>
      <w:r w:rsidR="009E39E9">
        <w:rPr>
          <w:rFonts w:cs="Arial"/>
          <w:lang w:val="de-DE"/>
        </w:rPr>
        <w:t xml:space="preserve">ist </w:t>
      </w:r>
      <w:r>
        <w:rPr>
          <w:rFonts w:cs="Arial"/>
          <w:lang w:val="de-DE"/>
        </w:rPr>
        <w:t>beim Arbeitgeber als steuerpflichtige Betriebseinnahme</w:t>
      </w:r>
      <w:r w:rsidR="009E39E9">
        <w:rPr>
          <w:rFonts w:cs="Arial"/>
          <w:lang w:val="de-DE"/>
        </w:rPr>
        <w:t xml:space="preserve"> zu werten, d</w:t>
      </w:r>
      <w:r>
        <w:rPr>
          <w:rFonts w:cs="Arial"/>
          <w:lang w:val="de-DE"/>
        </w:rPr>
        <w:t xml:space="preserve">ie Strafe selbst ist allerdings nicht abzugsfähig. </w:t>
      </w:r>
    </w:p>
    <w:p w14:paraId="44A1808D" w14:textId="77777777" w:rsidR="00A1023E" w:rsidRPr="00A1023E" w:rsidRDefault="00A1023E" w:rsidP="00A1023E">
      <w:pPr>
        <w:pStyle w:val="Listenabsatz"/>
        <w:rPr>
          <w:rFonts w:cs="Arial"/>
          <w:b/>
          <w:lang w:val="de-DE"/>
        </w:rPr>
      </w:pPr>
    </w:p>
    <w:p w14:paraId="28CF6E54" w14:textId="292C8071" w:rsidR="00A1023E" w:rsidRDefault="00A1023E" w:rsidP="00A1023E">
      <w:pPr>
        <w:pStyle w:val="Listenabsatz"/>
        <w:numPr>
          <w:ilvl w:val="0"/>
          <w:numId w:val="11"/>
        </w:numPr>
        <w:spacing w:after="200"/>
        <w:ind w:left="426" w:hanging="426"/>
        <w:contextualSpacing/>
        <w:rPr>
          <w:rFonts w:cs="Arial"/>
          <w:b/>
          <w:lang w:val="de-DE"/>
        </w:rPr>
      </w:pPr>
      <w:r>
        <w:rPr>
          <w:rFonts w:cs="Arial"/>
          <w:b/>
          <w:lang w:val="de-DE"/>
        </w:rPr>
        <w:t>V</w:t>
      </w:r>
      <w:r w:rsidR="00C76FE1">
        <w:rPr>
          <w:rFonts w:cs="Arial"/>
          <w:b/>
          <w:lang w:val="de-DE"/>
        </w:rPr>
        <w:t>wGH: Mängelbehebungsauftrag trotz „leerer“ eingebrachter Beschwerde</w:t>
      </w:r>
    </w:p>
    <w:p w14:paraId="38C84563" w14:textId="77777777" w:rsidR="00A1023E" w:rsidRPr="00A1023E" w:rsidRDefault="00A1023E" w:rsidP="00A1023E">
      <w:pPr>
        <w:pStyle w:val="Listenabsatz"/>
        <w:rPr>
          <w:rFonts w:cs="Arial"/>
          <w:sz w:val="2"/>
          <w:szCs w:val="2"/>
          <w:lang w:val="de-DE"/>
        </w:rPr>
      </w:pPr>
    </w:p>
    <w:p w14:paraId="25E9C101" w14:textId="70B69DC4" w:rsidR="00C76FE1" w:rsidRPr="00A1023E" w:rsidRDefault="00C76FE1" w:rsidP="00E616D0">
      <w:pPr>
        <w:spacing w:line="276" w:lineRule="auto"/>
        <w:ind w:left="426"/>
        <w:contextualSpacing/>
        <w:jc w:val="both"/>
        <w:rPr>
          <w:rFonts w:cs="Arial"/>
          <w:b/>
          <w:lang w:val="de-DE"/>
        </w:rPr>
      </w:pPr>
      <w:r w:rsidRPr="00A1023E">
        <w:rPr>
          <w:rFonts w:cs="Arial"/>
          <w:lang w:val="de-DE"/>
        </w:rPr>
        <w:t xml:space="preserve">Wird eine Beschwerde ohne Begründung eingebracht, so weist diese einen Mangel auf, welcher zu einem Mängelbehebungsauftrag führt. Dies gilt auch, wenn die Begründung bewusst nicht angeführt wird oder die Beschwerde lediglich den Hinweis „Begründung folgt“ enthält. </w:t>
      </w:r>
    </w:p>
    <w:p w14:paraId="12694F35" w14:textId="77777777" w:rsidR="00A1023E" w:rsidRPr="00A1023E" w:rsidRDefault="00A1023E" w:rsidP="00E616D0">
      <w:pPr>
        <w:pStyle w:val="Listenabsatz"/>
        <w:spacing w:line="276" w:lineRule="auto"/>
        <w:rPr>
          <w:rFonts w:cs="Arial"/>
          <w:b/>
          <w:lang w:val="de-DE"/>
        </w:rPr>
      </w:pPr>
    </w:p>
    <w:p w14:paraId="139DFE7C" w14:textId="2B483F9A" w:rsidR="00C76FE1" w:rsidRPr="00A1023E" w:rsidRDefault="00A1023E" w:rsidP="00C76FE1">
      <w:pPr>
        <w:pStyle w:val="Listenabsatz"/>
        <w:numPr>
          <w:ilvl w:val="0"/>
          <w:numId w:val="11"/>
        </w:numPr>
        <w:spacing w:after="200" w:line="276" w:lineRule="auto"/>
        <w:ind w:left="426" w:hanging="426"/>
        <w:contextualSpacing/>
        <w:jc w:val="both"/>
        <w:rPr>
          <w:rFonts w:cs="Arial"/>
          <w:b/>
          <w:lang w:val="de-DE"/>
        </w:rPr>
      </w:pPr>
      <w:r>
        <w:rPr>
          <w:rFonts w:cs="Arial"/>
          <w:b/>
          <w:lang w:val="de-DE"/>
        </w:rPr>
        <w:t>V</w:t>
      </w:r>
      <w:r w:rsidR="00C76FE1">
        <w:rPr>
          <w:rFonts w:cs="Arial"/>
          <w:b/>
          <w:lang w:val="de-DE"/>
        </w:rPr>
        <w:t xml:space="preserve">wGH: Nachträglich erstellte Einnahmen-Ausgaben-Rechnung ist kein Wiederaufnahmegrund </w:t>
      </w:r>
      <w:r>
        <w:rPr>
          <w:rFonts w:cs="Arial"/>
          <w:b/>
          <w:lang w:val="de-DE"/>
        </w:rPr>
        <w:br/>
      </w:r>
      <w:r w:rsidR="00C76FE1">
        <w:rPr>
          <w:rFonts w:cs="Arial"/>
          <w:lang w:val="de-DE"/>
        </w:rPr>
        <w:t xml:space="preserve">Eine Einnahmen-Ausgaben-Rechnung, die nach rechtskräftig ergangenem Steuerbescheid erstellt wird, stellt keine neu hervorgekommene Tatsache bzw kein neu hervorgekommenes Beweismittel, sondern ein </w:t>
      </w:r>
      <w:r w:rsidR="00C76FE1" w:rsidRPr="00C76FE1">
        <w:rPr>
          <w:rFonts w:cs="Arial"/>
          <w:b/>
          <w:bCs/>
          <w:lang w:val="de-DE"/>
        </w:rPr>
        <w:t xml:space="preserve">neu </w:t>
      </w:r>
      <w:r w:rsidR="00C76FE1" w:rsidRPr="00C76FE1">
        <w:rPr>
          <w:rFonts w:cs="Arial"/>
          <w:b/>
          <w:bCs/>
          <w:i/>
          <w:lang w:val="de-DE"/>
        </w:rPr>
        <w:t>entstandenes</w:t>
      </w:r>
      <w:r w:rsidR="00C76FE1" w:rsidRPr="00C76FE1">
        <w:rPr>
          <w:rFonts w:cs="Arial"/>
          <w:b/>
          <w:bCs/>
          <w:lang w:val="de-DE"/>
        </w:rPr>
        <w:t xml:space="preserve"> Beweismittel</w:t>
      </w:r>
      <w:r w:rsidR="00C76FE1">
        <w:rPr>
          <w:rFonts w:cs="Arial"/>
          <w:lang w:val="de-DE"/>
        </w:rPr>
        <w:t xml:space="preserve"> dar. Aus diesem Grund ist eine Wiederaufnahme mangels Wiederaufnahmegrund nicht möglich.</w:t>
      </w:r>
    </w:p>
    <w:p w14:paraId="2272AE42" w14:textId="77777777" w:rsidR="00A1023E" w:rsidRPr="003B1F30" w:rsidRDefault="00A1023E" w:rsidP="00A1023E">
      <w:pPr>
        <w:pStyle w:val="Listenabsatz"/>
        <w:spacing w:after="200" w:line="276" w:lineRule="auto"/>
        <w:ind w:left="426"/>
        <w:contextualSpacing/>
        <w:jc w:val="both"/>
        <w:rPr>
          <w:rFonts w:cs="Arial"/>
          <w:b/>
          <w:lang w:val="de-DE"/>
        </w:rPr>
      </w:pPr>
    </w:p>
    <w:p w14:paraId="680E8DCC" w14:textId="0DBCB48A" w:rsidR="00A1023E" w:rsidRDefault="00C76FE1" w:rsidP="00A1023E">
      <w:pPr>
        <w:pStyle w:val="Listenabsatz"/>
        <w:numPr>
          <w:ilvl w:val="0"/>
          <w:numId w:val="11"/>
        </w:numPr>
        <w:spacing w:after="200" w:line="276" w:lineRule="auto"/>
        <w:ind w:left="426" w:hanging="426"/>
        <w:contextualSpacing/>
        <w:rPr>
          <w:rFonts w:cs="Arial"/>
          <w:b/>
          <w:lang w:val="de-DE"/>
        </w:rPr>
      </w:pPr>
      <w:r>
        <w:rPr>
          <w:rFonts w:cs="Arial"/>
          <w:b/>
          <w:lang w:val="de-DE"/>
        </w:rPr>
        <w:t xml:space="preserve">VwGH: Vorteilszuwendung an einen Gesellschafter als Einlagenrückgewähr oder als verdeckte Gewinnausschüttung </w:t>
      </w:r>
    </w:p>
    <w:p w14:paraId="1162ACAB" w14:textId="77777777" w:rsidR="00A1023E" w:rsidRPr="00A1023E" w:rsidRDefault="00A1023E" w:rsidP="00A1023E">
      <w:pPr>
        <w:pStyle w:val="Listenabsatz"/>
        <w:rPr>
          <w:rFonts w:cs="Arial"/>
          <w:b/>
          <w:sz w:val="2"/>
          <w:szCs w:val="2"/>
          <w:lang w:val="de-DE"/>
        </w:rPr>
      </w:pPr>
    </w:p>
    <w:p w14:paraId="2F389A96" w14:textId="4E594DC6" w:rsidR="00C76FE1" w:rsidRPr="00A1023E" w:rsidRDefault="00C76FE1" w:rsidP="00A1023E">
      <w:pPr>
        <w:spacing w:after="200" w:line="276" w:lineRule="auto"/>
        <w:ind w:left="426"/>
        <w:contextualSpacing/>
        <w:jc w:val="both"/>
        <w:rPr>
          <w:rFonts w:cs="Arial"/>
          <w:b/>
          <w:lang w:val="de-DE"/>
        </w:rPr>
      </w:pPr>
      <w:r w:rsidRPr="00A1023E">
        <w:rPr>
          <w:rFonts w:cs="Arial"/>
          <w:lang w:val="de-DE"/>
        </w:rPr>
        <w:t>Werden bei einer GmbH mit ausreichend vorhandenem Einlagenstand, Zuwendungen an einen Gesellschafter ausbezahlt, so besteht ein Wahlrecht ob dies als Gewinnausschüttung oder Einlagenrückzahlung zu behandeln ist. Dieses Wahlrecht kann aber nur bis zum Ablauf des Kalenderjahrs, in welchem die Zuwendung erfolgt ist, ausgeübt werden. Daher ist es wichtig, die Ausübung dieses Wahlrechts ausreichend zu dokumentieren und auch der Finanzverwaltung offenzulegen</w:t>
      </w:r>
      <w:r w:rsidR="009E39E9" w:rsidRPr="00A1023E">
        <w:rPr>
          <w:rFonts w:cs="Arial"/>
          <w:lang w:val="de-DE"/>
        </w:rPr>
        <w:t xml:space="preserve"> (zB durch rechtzeitige Abgabe einer KES</w:t>
      </w:r>
      <w:r w:rsidR="00A1023E" w:rsidRPr="00A1023E">
        <w:rPr>
          <w:rFonts w:cs="Arial"/>
          <w:lang w:val="de-DE"/>
        </w:rPr>
        <w:t>t</w:t>
      </w:r>
      <w:r w:rsidR="009E39E9" w:rsidRPr="00A1023E">
        <w:rPr>
          <w:rFonts w:cs="Arial"/>
          <w:lang w:val="de-DE"/>
        </w:rPr>
        <w:t>-Anmeldung)</w:t>
      </w:r>
      <w:r w:rsidRPr="00A1023E">
        <w:rPr>
          <w:rFonts w:cs="Arial"/>
          <w:lang w:val="de-DE"/>
        </w:rPr>
        <w:t>.</w:t>
      </w:r>
    </w:p>
    <w:p w14:paraId="4D03AF0E" w14:textId="77777777" w:rsidR="00C76FE1" w:rsidRPr="00C76FE1" w:rsidRDefault="00C76FE1" w:rsidP="00C76FE1">
      <w:pPr>
        <w:jc w:val="both"/>
        <w:rPr>
          <w:b/>
        </w:rPr>
      </w:pPr>
    </w:p>
    <w:p w14:paraId="215F8195" w14:textId="77777777" w:rsidR="00C76FE1" w:rsidRPr="00C76FE1" w:rsidRDefault="00C76FE1" w:rsidP="00C76FE1">
      <w:pPr>
        <w:jc w:val="both"/>
        <w:rPr>
          <w:b/>
        </w:rPr>
      </w:pPr>
    </w:p>
    <w:p w14:paraId="67FAEE45" w14:textId="44BE4C7F" w:rsidR="00C76FE1" w:rsidRPr="00C76FE1" w:rsidRDefault="00C76FE1" w:rsidP="00C76FE1">
      <w:pPr>
        <w:pStyle w:val="berschrift1"/>
        <w:spacing w:line="276" w:lineRule="auto"/>
        <w:ind w:left="426" w:hanging="426"/>
        <w:jc w:val="both"/>
        <w:rPr>
          <w:caps/>
        </w:rPr>
      </w:pPr>
      <w:bookmarkStart w:id="11" w:name="_Toc453078019"/>
      <w:bookmarkStart w:id="12" w:name="_Toc43798406"/>
      <w:bookmarkStart w:id="13" w:name="_Toc74736886"/>
      <w:bookmarkEnd w:id="10"/>
      <w:r w:rsidRPr="00C76FE1">
        <w:rPr>
          <w:caps/>
        </w:rPr>
        <w:t>Termine</w:t>
      </w:r>
      <w:bookmarkEnd w:id="11"/>
      <w:bookmarkEnd w:id="12"/>
      <w:r w:rsidRPr="00C76FE1">
        <w:rPr>
          <w:caps/>
        </w:rPr>
        <w:t xml:space="preserve"> </w:t>
      </w:r>
      <w:r w:rsidR="00C60FF8">
        <w:rPr>
          <w:caps/>
        </w:rPr>
        <w:t xml:space="preserve">Juni </w:t>
      </w:r>
      <w:r w:rsidR="00242098">
        <w:rPr>
          <w:caps/>
        </w:rPr>
        <w:t>bis september 2021</w:t>
      </w:r>
      <w:bookmarkEnd w:id="13"/>
    </w:p>
    <w:p w14:paraId="7BB924D0" w14:textId="34F13D56" w:rsidR="00C5326D" w:rsidRDefault="00C76FE1" w:rsidP="00986241">
      <w:pPr>
        <w:spacing w:line="276" w:lineRule="auto"/>
      </w:pPr>
      <w:r w:rsidRPr="00C76FE1">
        <w:t>Um keine Frist</w:t>
      </w:r>
      <w:r w:rsidR="00360B7F">
        <w:t>en in den Monaten Juni bis September zu versäumen</w:t>
      </w:r>
      <w:r w:rsidRPr="00C76FE1">
        <w:t>, empfiehlt sich ein Blick auf folge</w:t>
      </w:r>
      <w:r w:rsidR="00C5326D">
        <w:softHyphen/>
      </w:r>
      <w:r w:rsidRPr="00C76FE1">
        <w:t>n</w:t>
      </w:r>
      <w:r w:rsidR="00C5326D">
        <w:t>-</w:t>
      </w:r>
    </w:p>
    <w:p w14:paraId="2093AF4D" w14:textId="39C5FE4A" w:rsidR="00C76FE1" w:rsidRPr="00C76FE1" w:rsidRDefault="00C76FE1" w:rsidP="00986241">
      <w:pPr>
        <w:spacing w:line="276" w:lineRule="auto"/>
      </w:pPr>
      <w:r w:rsidRPr="00C76FE1">
        <w:t>de Terminübersicht.</w:t>
      </w:r>
    </w:p>
    <w:p w14:paraId="5CB8D578" w14:textId="03B474C4" w:rsidR="00C76FE1" w:rsidRDefault="00C76FE1" w:rsidP="00986241">
      <w:pPr>
        <w:pStyle w:val="berschrift2"/>
        <w:numPr>
          <w:ilvl w:val="0"/>
          <w:numId w:val="0"/>
        </w:numPr>
        <w:spacing w:line="276" w:lineRule="auto"/>
        <w:ind w:left="576" w:hanging="576"/>
      </w:pPr>
      <w:r w:rsidRPr="00C76FE1">
        <w:t>Termin 30.6.202</w:t>
      </w:r>
      <w:r w:rsidR="00360B7F">
        <w:t>1</w:t>
      </w:r>
    </w:p>
    <w:p w14:paraId="2A5458A5" w14:textId="217CEE9D" w:rsidR="00ED2974" w:rsidRDefault="00ED2974" w:rsidP="00ED2974">
      <w:pPr>
        <w:pStyle w:val="Listenabsatz"/>
        <w:numPr>
          <w:ilvl w:val="0"/>
          <w:numId w:val="30"/>
        </w:numPr>
        <w:ind w:left="426" w:firstLine="0"/>
      </w:pPr>
      <w:r w:rsidRPr="00ED2974">
        <w:rPr>
          <w:b/>
          <w:bCs/>
          <w:u w:val="single"/>
        </w:rPr>
        <w:t>Anträge auf Ratenzahlung</w:t>
      </w:r>
      <w:r>
        <w:t xml:space="preserve"> beim Finanzamt, der Österreichischen Gesundheitskasse (ÖGK) und der Sozi</w:t>
      </w:r>
      <w:r w:rsidR="007420B7">
        <w:t>a</w:t>
      </w:r>
      <w:r>
        <w:t>lversicherung für Selbständige (SVS</w:t>
      </w:r>
      <w:r w:rsidR="007420B7">
        <w:t>)</w:t>
      </w:r>
      <w:r>
        <w:t xml:space="preserve"> für die seit Beginn der Coronakrise</w:t>
      </w:r>
      <w:r w:rsidR="007420B7">
        <w:t xml:space="preserve"> </w:t>
      </w:r>
      <w:r>
        <w:t>aufgelaufenen Beitragsrückstände.</w:t>
      </w:r>
    </w:p>
    <w:p w14:paraId="05113058" w14:textId="14DAD61A" w:rsidR="00ED2974" w:rsidRDefault="00ED2974" w:rsidP="00ED2974">
      <w:pPr>
        <w:pStyle w:val="Listenabsatz"/>
        <w:ind w:left="720"/>
      </w:pPr>
      <w:r>
        <w:t xml:space="preserve"> </w:t>
      </w:r>
    </w:p>
    <w:p w14:paraId="39E234C9" w14:textId="1DC6008D" w:rsidR="00C76FE1" w:rsidRPr="00C76FE1" w:rsidRDefault="00A07E32" w:rsidP="00986241">
      <w:pPr>
        <w:numPr>
          <w:ilvl w:val="0"/>
          <w:numId w:val="19"/>
        </w:numPr>
        <w:spacing w:line="276" w:lineRule="auto"/>
        <w:ind w:left="426" w:firstLine="0"/>
        <w:rPr>
          <w:u w:val="single"/>
        </w:rPr>
      </w:pPr>
      <w:r>
        <w:rPr>
          <w:b/>
          <w:bCs/>
          <w:u w:val="single"/>
        </w:rPr>
        <w:t xml:space="preserve">Fallfrist für </w:t>
      </w:r>
      <w:r w:rsidR="00C76FE1" w:rsidRPr="00C76FE1">
        <w:rPr>
          <w:b/>
          <w:bCs/>
          <w:u w:val="single"/>
        </w:rPr>
        <w:t xml:space="preserve">Vorsteuerrückerstattung </w:t>
      </w:r>
      <w:r>
        <w:rPr>
          <w:b/>
          <w:bCs/>
          <w:u w:val="single"/>
        </w:rPr>
        <w:t>bei Drittstaaten</w:t>
      </w:r>
    </w:p>
    <w:p w14:paraId="360FD4D8" w14:textId="2901843C" w:rsidR="00C76FE1" w:rsidRDefault="00C76FE1" w:rsidP="00986241">
      <w:pPr>
        <w:spacing w:line="276" w:lineRule="auto"/>
        <w:ind w:left="426"/>
        <w:jc w:val="both"/>
      </w:pPr>
      <w:r w:rsidRPr="00C76FE1">
        <w:rPr>
          <w:bCs/>
        </w:rPr>
        <w:t>Die Frist für die Erstattung von Vorsteuerbeträgen des Jahres 20</w:t>
      </w:r>
      <w:r w:rsidR="00A07E32">
        <w:rPr>
          <w:bCs/>
        </w:rPr>
        <w:t>20</w:t>
      </w:r>
      <w:r w:rsidRPr="00C76FE1">
        <w:rPr>
          <w:bCs/>
        </w:rPr>
        <w:t xml:space="preserve"> aus </w:t>
      </w:r>
      <w:r w:rsidR="00A07E32">
        <w:rPr>
          <w:bCs/>
        </w:rPr>
        <w:t>Nicht-EU-Staaten</w:t>
      </w:r>
      <w:r w:rsidRPr="00C76FE1">
        <w:rPr>
          <w:bCs/>
        </w:rPr>
        <w:t xml:space="preserve"> endet bereits am </w:t>
      </w:r>
      <w:r w:rsidRPr="00A07E32">
        <w:rPr>
          <w:b/>
        </w:rPr>
        <w:t>30.6.202</w:t>
      </w:r>
      <w:r w:rsidR="00A07E32" w:rsidRPr="00A07E32">
        <w:rPr>
          <w:b/>
        </w:rPr>
        <w:t>1</w:t>
      </w:r>
      <w:r w:rsidRPr="00A07E32">
        <w:rPr>
          <w:b/>
        </w:rPr>
        <w:t>. Spätestens</w:t>
      </w:r>
      <w:r w:rsidRPr="00C76FE1">
        <w:t xml:space="preserve"> bis dahin müssen die Anträge für die betreffenden Länder vollständig bei der jeweils zuständigen Behörde </w:t>
      </w:r>
      <w:r w:rsidRPr="00C76FE1">
        <w:rPr>
          <w:b/>
        </w:rPr>
        <w:t>eingelangt</w:t>
      </w:r>
      <w:r w:rsidRPr="00C76FE1">
        <w:t xml:space="preserve"> sein! Da die Anträge auf dem </w:t>
      </w:r>
      <w:r w:rsidRPr="00C76FE1">
        <w:rPr>
          <w:b/>
        </w:rPr>
        <w:t>Postweg</w:t>
      </w:r>
      <w:r w:rsidRPr="00C76FE1">
        <w:t xml:space="preserve"> zu </w:t>
      </w:r>
      <w:r w:rsidRPr="00C76FE1">
        <w:lastRenderedPageBreak/>
        <w:t>übermitteln sind, gilt es die Unterlagen rechtzeitig abzuschicken. Für die Schweiz ist ein lokaler steuerlicher Vertreter einzubinden</w:t>
      </w:r>
      <w:r w:rsidR="00A07E32">
        <w:t xml:space="preserve">. Dem Antrag sind </w:t>
      </w:r>
      <w:r w:rsidR="00A07E32" w:rsidRPr="00A07E32">
        <w:rPr>
          <w:b/>
          <w:bCs/>
        </w:rPr>
        <w:t>sämtliche Originalrechnungen sowie eine Unternehmerbescheinigung im Origina</w:t>
      </w:r>
      <w:r w:rsidR="00A07E32" w:rsidRPr="00E616D0">
        <w:rPr>
          <w:b/>
          <w:bCs/>
        </w:rPr>
        <w:t>l</w:t>
      </w:r>
      <w:r w:rsidR="00A07E32">
        <w:t xml:space="preserve"> beizufügen. Kopien davon verbleiben für Ihre Unterlagen. In Österreich ist für die Vorsteuererstattung an Drittlandsunternehmer nunmehr das neue </w:t>
      </w:r>
      <w:r w:rsidR="00A07E32" w:rsidRPr="00A07E32">
        <w:rPr>
          <w:b/>
          <w:bCs/>
        </w:rPr>
        <w:t>Finanzamt Österreich, Dienststelle Graz-Stadt</w:t>
      </w:r>
      <w:r w:rsidR="00A07E32">
        <w:t>, zuständig.</w:t>
      </w:r>
    </w:p>
    <w:p w14:paraId="3A3AC0D9" w14:textId="77777777" w:rsidR="0098005C" w:rsidRDefault="0098005C" w:rsidP="00986241">
      <w:pPr>
        <w:spacing w:line="276" w:lineRule="auto"/>
        <w:ind w:left="426"/>
        <w:jc w:val="both"/>
      </w:pPr>
    </w:p>
    <w:p w14:paraId="407AF5D7" w14:textId="03FB690B" w:rsidR="0098005C" w:rsidRPr="0098005C" w:rsidRDefault="0098005C" w:rsidP="00986241">
      <w:pPr>
        <w:pStyle w:val="Listenabsatz"/>
        <w:numPr>
          <w:ilvl w:val="0"/>
          <w:numId w:val="29"/>
        </w:numPr>
        <w:spacing w:line="276" w:lineRule="auto"/>
        <w:ind w:left="709" w:hanging="283"/>
        <w:jc w:val="both"/>
        <w:rPr>
          <w:b/>
          <w:bCs/>
          <w:u w:val="single"/>
        </w:rPr>
      </w:pPr>
      <w:r w:rsidRPr="0098005C">
        <w:rPr>
          <w:b/>
          <w:bCs/>
          <w:u w:val="single"/>
        </w:rPr>
        <w:t xml:space="preserve">Fallfristen für </w:t>
      </w:r>
      <w:r w:rsidR="007420B7" w:rsidRPr="00C76FE1">
        <w:rPr>
          <w:b/>
          <w:bCs/>
          <w:u w:val="single"/>
        </w:rPr>
        <w:t>Vorsteuerrückerstattung</w:t>
      </w:r>
      <w:r w:rsidR="007420B7" w:rsidRPr="0098005C">
        <w:rPr>
          <w:b/>
          <w:bCs/>
          <w:u w:val="single"/>
        </w:rPr>
        <w:t xml:space="preserve"> </w:t>
      </w:r>
      <w:r w:rsidR="007420B7">
        <w:rPr>
          <w:b/>
          <w:bCs/>
          <w:u w:val="single"/>
        </w:rPr>
        <w:t xml:space="preserve">in </w:t>
      </w:r>
      <w:r w:rsidRPr="0098005C">
        <w:rPr>
          <w:b/>
          <w:bCs/>
          <w:u w:val="single"/>
        </w:rPr>
        <w:t>Großbritannien</w:t>
      </w:r>
    </w:p>
    <w:p w14:paraId="0C57369A" w14:textId="38A1DD91" w:rsidR="0098005C" w:rsidRDefault="0098005C" w:rsidP="00986241">
      <w:pPr>
        <w:spacing w:line="276" w:lineRule="auto"/>
        <w:ind w:left="426"/>
        <w:jc w:val="both"/>
      </w:pPr>
      <w:r>
        <w:t>Mit dem BREXIT ist die Frist für die Erstattungsanträge der bis zum 31.12.2020 angefallen Vorsteuern bereits am 31.3.2021 abgelaufen.</w:t>
      </w:r>
    </w:p>
    <w:p w14:paraId="34BDD74C" w14:textId="50DAD18E" w:rsidR="003D1A90" w:rsidRPr="00C76FE1" w:rsidRDefault="003D1A90" w:rsidP="00986241">
      <w:pPr>
        <w:spacing w:line="276" w:lineRule="auto"/>
        <w:ind w:left="426"/>
        <w:jc w:val="both"/>
      </w:pPr>
      <w:r>
        <w:t>Nach de</w:t>
      </w:r>
      <w:r w:rsidR="007420B7">
        <w:t>n</w:t>
      </w:r>
      <w:r>
        <w:t xml:space="preserve"> national</w:t>
      </w:r>
      <w:r w:rsidR="007420B7">
        <w:t>en</w:t>
      </w:r>
      <w:r>
        <w:t xml:space="preserve"> britischen Reg</w:t>
      </w:r>
      <w:r w:rsidR="007420B7">
        <w:t>eln</w:t>
      </w:r>
      <w:r>
        <w:t xml:space="preserve"> erfolgt die Vorsteuererstattung auf Basis des sogenannten „</w:t>
      </w:r>
      <w:proofErr w:type="spellStart"/>
      <w:r>
        <w:t>prescribed</w:t>
      </w:r>
      <w:proofErr w:type="spellEnd"/>
      <w:r>
        <w:t xml:space="preserve"> </w:t>
      </w:r>
      <w:proofErr w:type="spellStart"/>
      <w:r>
        <w:t>year</w:t>
      </w:r>
      <w:proofErr w:type="spellEnd"/>
      <w:r>
        <w:t xml:space="preserve">“, das vom 1.Juli eines Jahres bis </w:t>
      </w:r>
      <w:r w:rsidR="00F8383D">
        <w:t xml:space="preserve">zum </w:t>
      </w:r>
      <w:r>
        <w:t xml:space="preserve">30.Juni des Folgejahres dauert, </w:t>
      </w:r>
      <w:r w:rsidR="00F8383D">
        <w:t xml:space="preserve">innerhalb von </w:t>
      </w:r>
      <w:r w:rsidR="00F8383D" w:rsidRPr="00F8383D">
        <w:rPr>
          <w:b/>
          <w:bCs/>
        </w:rPr>
        <w:t>sechs Monaten nach Ende des Zeitraums</w:t>
      </w:r>
      <w:r w:rsidR="00F8383D">
        <w:t xml:space="preserve"> (also der 31.Dezember). Für die Erstattung der </w:t>
      </w:r>
      <w:r w:rsidR="00F8383D" w:rsidRPr="00F8383D">
        <w:rPr>
          <w:b/>
          <w:bCs/>
        </w:rPr>
        <w:t>Vorsteuerbeträge aus dem Zeitraum 1.1. bis 30.6.2021</w:t>
      </w:r>
      <w:r w:rsidR="00F8383D">
        <w:t xml:space="preserve"> – quasi ein Brexit-Rumpfjahr – sind die </w:t>
      </w:r>
      <w:r w:rsidR="00F8383D" w:rsidRPr="00F8383D">
        <w:rPr>
          <w:b/>
          <w:bCs/>
        </w:rPr>
        <w:t xml:space="preserve">Vergütungsanträge </w:t>
      </w:r>
      <w:r w:rsidR="00C60FF8">
        <w:rPr>
          <w:b/>
          <w:bCs/>
        </w:rPr>
        <w:t xml:space="preserve">bis </w:t>
      </w:r>
      <w:r w:rsidR="00F8383D" w:rsidRPr="00F8383D">
        <w:rPr>
          <w:b/>
          <w:bCs/>
        </w:rPr>
        <w:t>zum 31.12.2021</w:t>
      </w:r>
      <w:r w:rsidR="00F8383D">
        <w:t xml:space="preserve"> einzubringen. Auch hier sind die Rechnungen, Importbelege und eine gültige Unternehmerbescheinigung </w:t>
      </w:r>
      <w:r w:rsidR="007420B7">
        <w:t xml:space="preserve">im Original </w:t>
      </w:r>
      <w:r w:rsidR="00F8383D">
        <w:t xml:space="preserve">auf dem Postweg zu übermitteln. Voraussetzung ist, dass der Erstattungsbetrag </w:t>
      </w:r>
      <w:r w:rsidR="00F8383D" w:rsidRPr="00F8383D">
        <w:rPr>
          <w:b/>
          <w:bCs/>
        </w:rPr>
        <w:t>mindestens 130 britische Pfund</w:t>
      </w:r>
      <w:r w:rsidR="00F8383D">
        <w:t xml:space="preserve"> für drei Monate bzw 16 britische Pfund für den 12 Monate umfassenden Zeitraum überschreitet.</w:t>
      </w:r>
    </w:p>
    <w:p w14:paraId="096A1DE7" w14:textId="0DAC06D2" w:rsidR="00C76FE1" w:rsidRPr="00C76FE1" w:rsidRDefault="00C76FE1" w:rsidP="00986241">
      <w:pPr>
        <w:spacing w:line="276" w:lineRule="auto"/>
        <w:jc w:val="both"/>
        <w:rPr>
          <w:rFonts w:cs="Arial"/>
          <w:color w:val="222222"/>
          <w:spacing w:val="-11"/>
          <w:shd w:val="clear" w:color="auto" w:fill="FFFFFF"/>
        </w:rPr>
      </w:pPr>
    </w:p>
    <w:p w14:paraId="4709E58F" w14:textId="6768DD41" w:rsidR="00C76FE1" w:rsidRDefault="00C76FE1" w:rsidP="00986241">
      <w:pPr>
        <w:pStyle w:val="berschrift2"/>
        <w:numPr>
          <w:ilvl w:val="0"/>
          <w:numId w:val="0"/>
        </w:numPr>
        <w:spacing w:line="276" w:lineRule="auto"/>
        <w:ind w:left="576" w:hanging="576"/>
      </w:pPr>
      <w:r w:rsidRPr="00C76FE1">
        <w:t>Termin 1.7.202</w:t>
      </w:r>
      <w:r w:rsidR="00360B7F">
        <w:t>1</w:t>
      </w:r>
    </w:p>
    <w:p w14:paraId="18312A3B" w14:textId="731A69F8" w:rsidR="00483049" w:rsidRDefault="00483049" w:rsidP="00A1023E">
      <w:pPr>
        <w:pStyle w:val="Listenabsatz"/>
        <w:numPr>
          <w:ilvl w:val="0"/>
          <w:numId w:val="19"/>
        </w:numPr>
        <w:spacing w:line="276" w:lineRule="auto"/>
        <w:ind w:left="567" w:hanging="141"/>
        <w:jc w:val="both"/>
      </w:pPr>
      <w:r>
        <w:t xml:space="preserve">Inkrafttreten der </w:t>
      </w:r>
      <w:r w:rsidRPr="00A1023E">
        <w:rPr>
          <w:b/>
          <w:bCs/>
          <w:u w:val="single"/>
        </w:rPr>
        <w:t xml:space="preserve">Erhöhung der </w:t>
      </w:r>
      <w:r w:rsidR="000C2B2C" w:rsidRPr="00A1023E">
        <w:rPr>
          <w:b/>
          <w:bCs/>
          <w:u w:val="single"/>
        </w:rPr>
        <w:t>No</w:t>
      </w:r>
      <w:r w:rsidRPr="00A1023E">
        <w:rPr>
          <w:b/>
          <w:bCs/>
          <w:u w:val="single"/>
        </w:rPr>
        <w:t>rmverbrauchsabgabe</w:t>
      </w:r>
      <w:r>
        <w:t xml:space="preserve"> (NoVA) </w:t>
      </w:r>
      <w:r w:rsidR="000C2B2C">
        <w:t xml:space="preserve">und </w:t>
      </w:r>
      <w:r>
        <w:t>der KFZ-S</w:t>
      </w:r>
      <w:r w:rsidR="00C26200">
        <w:t>teuer</w:t>
      </w:r>
      <w:r>
        <w:t xml:space="preserve"> (siehe dazu den ausführlichen Beitrag in der KlientenINFO Ausgabe 2/2021)</w:t>
      </w:r>
      <w:r w:rsidR="007420B7">
        <w:t>.</w:t>
      </w:r>
    </w:p>
    <w:p w14:paraId="23D1F3BD" w14:textId="5CDF2E2D" w:rsidR="00246DA1" w:rsidRPr="00383AF8" w:rsidRDefault="00246DA1" w:rsidP="00A1023E">
      <w:pPr>
        <w:pStyle w:val="Listenabsatz"/>
        <w:numPr>
          <w:ilvl w:val="0"/>
          <w:numId w:val="19"/>
        </w:numPr>
        <w:spacing w:line="276" w:lineRule="auto"/>
        <w:ind w:left="567" w:hanging="141"/>
        <w:jc w:val="both"/>
      </w:pPr>
      <w:r w:rsidRPr="00246DA1">
        <w:t>Ab 1.7.2021 wird die </w:t>
      </w:r>
      <w:r w:rsidRPr="00A1023E">
        <w:rPr>
          <w:b/>
          <w:bCs/>
          <w:u w:val="single"/>
        </w:rPr>
        <w:t>Einfuhrumsatzsteuerbefreiung abgeschafft</w:t>
      </w:r>
      <w:r w:rsidRPr="00246DA1">
        <w:t>, die bislang für Paketlieferungen aus Drittstaaten bis zu einem Warenwert von € 22,- gegolten hat.</w:t>
      </w:r>
    </w:p>
    <w:p w14:paraId="45E9CF01" w14:textId="77777777" w:rsidR="00483049" w:rsidRDefault="00483049" w:rsidP="00995DC6">
      <w:pPr>
        <w:pStyle w:val="Listenabsatz"/>
        <w:spacing w:line="276" w:lineRule="auto"/>
        <w:ind w:left="576" w:hanging="576"/>
      </w:pPr>
    </w:p>
    <w:p w14:paraId="4B103870" w14:textId="312DD24E" w:rsidR="00C76FE1" w:rsidRPr="00483049" w:rsidRDefault="00C76FE1" w:rsidP="00483049">
      <w:pPr>
        <w:pStyle w:val="Listenabsatz"/>
        <w:spacing w:line="276" w:lineRule="auto"/>
        <w:ind w:left="576" w:hanging="576"/>
        <w:rPr>
          <w:b/>
          <w:bCs/>
        </w:rPr>
      </w:pPr>
      <w:r w:rsidRPr="00483049">
        <w:rPr>
          <w:b/>
          <w:bCs/>
        </w:rPr>
        <w:t>Termin 30.9.202</w:t>
      </w:r>
      <w:r w:rsidR="00360B7F" w:rsidRPr="00483049">
        <w:rPr>
          <w:b/>
          <w:bCs/>
        </w:rPr>
        <w:t>1</w:t>
      </w:r>
    </w:p>
    <w:p w14:paraId="4851ED30" w14:textId="21F69FA3" w:rsidR="00C76FE1" w:rsidRPr="00C76FE1" w:rsidRDefault="000C2B2C" w:rsidP="00483049">
      <w:pPr>
        <w:numPr>
          <w:ilvl w:val="0"/>
          <w:numId w:val="19"/>
        </w:numPr>
        <w:spacing w:line="276" w:lineRule="auto"/>
        <w:ind w:left="426" w:firstLine="0"/>
        <w:jc w:val="both"/>
        <w:rPr>
          <w:u w:val="single"/>
        </w:rPr>
      </w:pPr>
      <w:r>
        <w:rPr>
          <w:b/>
          <w:bCs/>
          <w:u w:val="single"/>
        </w:rPr>
        <w:t xml:space="preserve">Fallfrist für </w:t>
      </w:r>
      <w:r w:rsidRPr="007420B7">
        <w:rPr>
          <w:b/>
          <w:bCs/>
          <w:u w:val="single"/>
        </w:rPr>
        <w:t>V</w:t>
      </w:r>
      <w:r w:rsidR="00C76FE1" w:rsidRPr="007420B7">
        <w:rPr>
          <w:b/>
          <w:bCs/>
          <w:u w:val="single"/>
        </w:rPr>
        <w:t>orsteuerrückerstattung für</w:t>
      </w:r>
      <w:r w:rsidR="00C76FE1" w:rsidRPr="00C76FE1">
        <w:rPr>
          <w:b/>
          <w:bCs/>
          <w:u w:val="single"/>
        </w:rPr>
        <w:t xml:space="preserve"> EU-Staaten </w:t>
      </w:r>
    </w:p>
    <w:p w14:paraId="0A0535BD" w14:textId="75A60A3A" w:rsidR="00C76FE1" w:rsidRPr="00C76FE1" w:rsidRDefault="00C76FE1" w:rsidP="00986241">
      <w:pPr>
        <w:spacing w:line="276" w:lineRule="auto"/>
        <w:ind w:left="426"/>
        <w:jc w:val="both"/>
        <w:rPr>
          <w:rFonts w:cs="Arial"/>
          <w:color w:val="000000"/>
        </w:rPr>
      </w:pPr>
      <w:r w:rsidRPr="00C76FE1">
        <w:t>Für die Erstattung von Vorsteuern des Jahr</w:t>
      </w:r>
      <w:r w:rsidR="00C60FF8">
        <w:t>e</w:t>
      </w:r>
      <w:r w:rsidRPr="00C76FE1">
        <w:t>s 20</w:t>
      </w:r>
      <w:r w:rsidR="00F8383D">
        <w:t>20</w:t>
      </w:r>
      <w:r w:rsidRPr="00C76FE1">
        <w:t xml:space="preserve"> in </w:t>
      </w:r>
      <w:r w:rsidRPr="00C76FE1">
        <w:rPr>
          <w:b/>
        </w:rPr>
        <w:t>EU-Mitgliedsstaaten</w:t>
      </w:r>
      <w:r w:rsidRPr="00C76FE1">
        <w:t xml:space="preserve"> endet die Frist am </w:t>
      </w:r>
      <w:r w:rsidRPr="00C76FE1">
        <w:rPr>
          <w:b/>
        </w:rPr>
        <w:t>30.9.202</w:t>
      </w:r>
      <w:r w:rsidR="007F5A24">
        <w:rPr>
          <w:b/>
        </w:rPr>
        <w:t>1</w:t>
      </w:r>
      <w:r w:rsidRPr="00C76FE1">
        <w:t xml:space="preserve">. </w:t>
      </w:r>
      <w:r w:rsidRPr="00C76FE1">
        <w:rPr>
          <w:rFonts w:cs="Arial"/>
          <w:color w:val="000000"/>
        </w:rPr>
        <w:t>Die Anträge in der EU sind zwingend über das lokale elektronische Portal (für alle österreichischen Unternehmer somit via</w:t>
      </w:r>
      <w:r w:rsidRPr="00C76FE1">
        <w:rPr>
          <w:rFonts w:cs="Arial"/>
          <w:b/>
          <w:bCs/>
          <w:color w:val="000000"/>
        </w:rPr>
        <w:t xml:space="preserve"> FinanzOnline</w:t>
      </w:r>
      <w:r w:rsidRPr="00C76FE1">
        <w:rPr>
          <w:rFonts w:cs="Arial"/>
          <w:color w:val="000000"/>
        </w:rPr>
        <w:t>) einzureichen. Dabei gilt es die Vorsteuerabzugsfähigkeit nach de</w:t>
      </w:r>
      <w:r w:rsidR="00C60FF8">
        <w:rPr>
          <w:rFonts w:cs="Arial"/>
          <w:color w:val="000000"/>
        </w:rPr>
        <w:t>n</w:t>
      </w:r>
      <w:r w:rsidRPr="00C76FE1">
        <w:rPr>
          <w:rFonts w:cs="Arial"/>
          <w:color w:val="000000"/>
        </w:rPr>
        <w:t xml:space="preserve"> im jeweiligen EU-Mitgliedsstaat geltenden Regelungen zu beachten.</w:t>
      </w:r>
    </w:p>
    <w:p w14:paraId="04EB4B56" w14:textId="08A0BF21" w:rsidR="00C76FE1" w:rsidRPr="00C76FE1" w:rsidRDefault="00C76FE1" w:rsidP="00986241">
      <w:pPr>
        <w:spacing w:line="276" w:lineRule="auto"/>
        <w:ind w:left="426"/>
        <w:jc w:val="both"/>
        <w:rPr>
          <w:rFonts w:cs="Arial"/>
          <w:bCs/>
          <w:iCs/>
        </w:rPr>
      </w:pPr>
      <w:r w:rsidRPr="00C76FE1">
        <w:rPr>
          <w:rFonts w:cs="Arial"/>
          <w:color w:val="000000"/>
        </w:rPr>
        <w:t xml:space="preserve">Grundsätzlich sind </w:t>
      </w:r>
      <w:r w:rsidRPr="00C76FE1">
        <w:rPr>
          <w:rFonts w:cs="Arial"/>
          <w:b/>
          <w:bCs/>
          <w:color w:val="000000"/>
        </w:rPr>
        <w:t>Rechnungen</w:t>
      </w:r>
      <w:r w:rsidRPr="00C76FE1">
        <w:rPr>
          <w:rFonts w:cs="Arial"/>
          <w:color w:val="000000"/>
        </w:rPr>
        <w:t xml:space="preserve"> mit einer Bemessungsgrundlage von min € 1.000 bzw Tankbelege über € 250 einzuscannen und dem Antrag als </w:t>
      </w:r>
      <w:r w:rsidRPr="00C76FE1">
        <w:rPr>
          <w:rFonts w:cs="Arial"/>
          <w:b/>
          <w:bCs/>
          <w:color w:val="000000"/>
        </w:rPr>
        <w:t>PDF-File</w:t>
      </w:r>
      <w:r w:rsidRPr="00C76FE1">
        <w:rPr>
          <w:rFonts w:cs="Arial"/>
          <w:color w:val="000000"/>
        </w:rPr>
        <w:t xml:space="preserve"> beizufügen. Dabei gilt es die maximale Datengröße bei Einreichung über FinanzOnline von 5 MB </w:t>
      </w:r>
      <w:r w:rsidR="007F5A24">
        <w:rPr>
          <w:rFonts w:cs="Arial"/>
          <w:color w:val="000000"/>
        </w:rPr>
        <w:t xml:space="preserve">und 40 Belegen je Antrag </w:t>
      </w:r>
      <w:r w:rsidRPr="00C76FE1">
        <w:rPr>
          <w:rFonts w:cs="Arial"/>
          <w:color w:val="000000"/>
        </w:rPr>
        <w:t>zu beachten.</w:t>
      </w:r>
    </w:p>
    <w:p w14:paraId="51B5D425" w14:textId="657E1B5B" w:rsidR="00C76FE1" w:rsidRDefault="00C76FE1" w:rsidP="00986241">
      <w:pPr>
        <w:spacing w:line="276" w:lineRule="auto"/>
        <w:ind w:left="426"/>
        <w:jc w:val="both"/>
        <w:rPr>
          <w:szCs w:val="24"/>
          <w:lang w:val="de-DE"/>
        </w:rPr>
      </w:pPr>
      <w:r w:rsidRPr="00C76FE1">
        <w:rPr>
          <w:szCs w:val="24"/>
          <w:lang w:val="de-DE"/>
        </w:rPr>
        <w:t xml:space="preserve">Unterjährig gestellte Anträge müssen Vorsteuern von </w:t>
      </w:r>
      <w:r w:rsidRPr="00C76FE1">
        <w:rPr>
          <w:b/>
          <w:bCs/>
          <w:szCs w:val="24"/>
          <w:lang w:val="de-DE"/>
        </w:rPr>
        <w:t>zumindest €</w:t>
      </w:r>
      <w:r w:rsidRPr="00C76FE1">
        <w:rPr>
          <w:szCs w:val="24"/>
          <w:lang w:val="de-DE"/>
        </w:rPr>
        <w:t xml:space="preserve"> </w:t>
      </w:r>
      <w:r w:rsidRPr="00C76FE1">
        <w:rPr>
          <w:b/>
          <w:bCs/>
          <w:szCs w:val="24"/>
          <w:lang w:val="de-DE"/>
        </w:rPr>
        <w:t xml:space="preserve">400 </w:t>
      </w:r>
      <w:r w:rsidRPr="00C76FE1">
        <w:rPr>
          <w:szCs w:val="24"/>
          <w:lang w:val="de-DE"/>
        </w:rPr>
        <w:t xml:space="preserve">umfassen. Bezieht sich ein Antrag auf ein </w:t>
      </w:r>
      <w:r w:rsidRPr="00C76FE1">
        <w:rPr>
          <w:b/>
          <w:bCs/>
          <w:szCs w:val="24"/>
          <w:lang w:val="de-DE"/>
        </w:rPr>
        <w:t>ganzes Kalenderjahr</w:t>
      </w:r>
      <w:r w:rsidRPr="00C76FE1">
        <w:rPr>
          <w:szCs w:val="24"/>
          <w:lang w:val="de-DE"/>
        </w:rPr>
        <w:t xml:space="preserve"> </w:t>
      </w:r>
      <w:r w:rsidRPr="00C76FE1">
        <w:rPr>
          <w:bCs/>
          <w:szCs w:val="24"/>
          <w:lang w:val="de-DE"/>
        </w:rPr>
        <w:t>bzw auf den letzten Zeitraum eines Kalenderjahres</w:t>
      </w:r>
      <w:r w:rsidRPr="00C76FE1">
        <w:rPr>
          <w:szCs w:val="24"/>
          <w:lang w:val="de-DE"/>
        </w:rPr>
        <w:t xml:space="preserve">, so müssen die Erstattungsbeträge </w:t>
      </w:r>
      <w:r w:rsidRPr="00C76FE1">
        <w:rPr>
          <w:b/>
          <w:bCs/>
          <w:szCs w:val="24"/>
          <w:lang w:val="de-DE"/>
        </w:rPr>
        <w:t xml:space="preserve">zumindest € 50 </w:t>
      </w:r>
      <w:r w:rsidRPr="00C76FE1">
        <w:rPr>
          <w:szCs w:val="24"/>
          <w:lang w:val="de-DE"/>
        </w:rPr>
        <w:t xml:space="preserve">betragen. </w:t>
      </w:r>
    </w:p>
    <w:p w14:paraId="31EC6D8F" w14:textId="5633E61B" w:rsidR="007F5A24" w:rsidRDefault="007F5A24" w:rsidP="00986241">
      <w:pPr>
        <w:spacing w:line="276" w:lineRule="auto"/>
        <w:ind w:left="426"/>
        <w:jc w:val="both"/>
        <w:rPr>
          <w:szCs w:val="24"/>
          <w:lang w:val="de-DE"/>
        </w:rPr>
      </w:pPr>
    </w:p>
    <w:p w14:paraId="200F8DE0" w14:textId="1B66D173" w:rsidR="007F5A24" w:rsidRPr="00C76FE1" w:rsidRDefault="007F5A24" w:rsidP="00986241">
      <w:pPr>
        <w:spacing w:line="276" w:lineRule="auto"/>
        <w:ind w:left="426"/>
        <w:jc w:val="both"/>
        <w:rPr>
          <w:szCs w:val="24"/>
          <w:lang w:val="de-DE"/>
        </w:rPr>
      </w:pPr>
      <w:r>
        <w:rPr>
          <w:szCs w:val="24"/>
          <w:lang w:val="de-DE"/>
        </w:rPr>
        <w:t xml:space="preserve">Im Zuge der Bearbeitung </w:t>
      </w:r>
      <w:r w:rsidR="0008593F">
        <w:rPr>
          <w:szCs w:val="24"/>
          <w:lang w:val="de-DE"/>
        </w:rPr>
        <w:t>der Anträge durch die ausländischen Finanzbehörden kommt</w:t>
      </w:r>
      <w:r>
        <w:rPr>
          <w:szCs w:val="24"/>
          <w:lang w:val="de-DE"/>
        </w:rPr>
        <w:t xml:space="preserve"> es oft </w:t>
      </w:r>
      <w:r w:rsidR="0008593F">
        <w:rPr>
          <w:szCs w:val="24"/>
          <w:lang w:val="de-DE"/>
        </w:rPr>
        <w:t xml:space="preserve">zu </w:t>
      </w:r>
      <w:r w:rsidRPr="000C2B2C">
        <w:rPr>
          <w:b/>
          <w:bCs/>
          <w:szCs w:val="24"/>
          <w:lang w:val="de-DE"/>
        </w:rPr>
        <w:t xml:space="preserve">Rückfragen oder </w:t>
      </w:r>
      <w:r w:rsidR="0008593F" w:rsidRPr="000C2B2C">
        <w:rPr>
          <w:b/>
          <w:bCs/>
          <w:szCs w:val="24"/>
          <w:lang w:val="de-DE"/>
        </w:rPr>
        <w:t xml:space="preserve">ergänzenden </w:t>
      </w:r>
      <w:r w:rsidRPr="000C2B2C">
        <w:rPr>
          <w:b/>
          <w:bCs/>
          <w:szCs w:val="24"/>
          <w:lang w:val="de-DE"/>
        </w:rPr>
        <w:t>Unterlagenanforderung</w:t>
      </w:r>
      <w:r w:rsidR="0008593F" w:rsidRPr="000C2B2C">
        <w:rPr>
          <w:b/>
          <w:bCs/>
          <w:szCs w:val="24"/>
          <w:lang w:val="de-DE"/>
        </w:rPr>
        <w:t>en</w:t>
      </w:r>
      <w:r w:rsidRPr="000C2B2C">
        <w:rPr>
          <w:b/>
          <w:bCs/>
          <w:szCs w:val="24"/>
          <w:lang w:val="de-DE"/>
        </w:rPr>
        <w:t>, wofür eine Nachfrist von eine</w:t>
      </w:r>
      <w:r w:rsidR="00C60FF8">
        <w:rPr>
          <w:b/>
          <w:bCs/>
          <w:szCs w:val="24"/>
          <w:lang w:val="de-DE"/>
        </w:rPr>
        <w:t>m</w:t>
      </w:r>
      <w:r w:rsidRPr="000C2B2C">
        <w:rPr>
          <w:b/>
          <w:bCs/>
          <w:szCs w:val="24"/>
          <w:lang w:val="de-DE"/>
        </w:rPr>
        <w:t xml:space="preserve"> Monat</w:t>
      </w:r>
      <w:r>
        <w:rPr>
          <w:szCs w:val="24"/>
          <w:lang w:val="de-DE"/>
        </w:rPr>
        <w:t xml:space="preserve"> eingeräumt</w:t>
      </w:r>
      <w:r w:rsidR="0008593F">
        <w:rPr>
          <w:szCs w:val="24"/>
          <w:lang w:val="de-DE"/>
        </w:rPr>
        <w:t xml:space="preserve"> wird. Bei Nichteinhaltung dieser Nachfrist reagieren die ausländischen Behörden </w:t>
      </w:r>
      <w:r w:rsidR="00C26200">
        <w:rPr>
          <w:szCs w:val="24"/>
          <w:lang w:val="de-DE"/>
        </w:rPr>
        <w:t>häufig</w:t>
      </w:r>
      <w:r w:rsidR="0008593F">
        <w:rPr>
          <w:szCs w:val="24"/>
          <w:lang w:val="de-DE"/>
        </w:rPr>
        <w:t xml:space="preserve"> mit einer Ablehnung der eingereichten Anträge mit der Begründung</w:t>
      </w:r>
      <w:r w:rsidR="00C26200">
        <w:rPr>
          <w:szCs w:val="24"/>
          <w:lang w:val="de-DE"/>
        </w:rPr>
        <w:t>, dass die</w:t>
      </w:r>
      <w:r w:rsidR="0008593F">
        <w:rPr>
          <w:szCs w:val="24"/>
          <w:lang w:val="de-DE"/>
        </w:rPr>
        <w:t xml:space="preserve"> Frist für die Nachreichung der Unterlagen</w:t>
      </w:r>
      <w:r w:rsidR="00C26200">
        <w:rPr>
          <w:szCs w:val="24"/>
          <w:lang w:val="de-DE"/>
        </w:rPr>
        <w:t xml:space="preserve"> nicht eingehalten wurde</w:t>
      </w:r>
      <w:r w:rsidR="0008593F">
        <w:rPr>
          <w:szCs w:val="24"/>
          <w:lang w:val="de-DE"/>
        </w:rPr>
        <w:t xml:space="preserve">. </w:t>
      </w:r>
      <w:r>
        <w:rPr>
          <w:szCs w:val="24"/>
          <w:lang w:val="de-DE"/>
        </w:rPr>
        <w:t xml:space="preserve">Der </w:t>
      </w:r>
      <w:r w:rsidRPr="000C2B2C">
        <w:rPr>
          <w:b/>
          <w:bCs/>
          <w:szCs w:val="24"/>
          <w:lang w:val="de-DE"/>
        </w:rPr>
        <w:t>EuGH</w:t>
      </w:r>
      <w:r>
        <w:rPr>
          <w:szCs w:val="24"/>
          <w:lang w:val="de-DE"/>
        </w:rPr>
        <w:t xml:space="preserve"> stellt </w:t>
      </w:r>
      <w:r w:rsidR="0008593F">
        <w:rPr>
          <w:szCs w:val="24"/>
          <w:lang w:val="de-DE"/>
        </w:rPr>
        <w:t xml:space="preserve">dazu klar, dass es sich bei der </w:t>
      </w:r>
      <w:r w:rsidR="0008593F" w:rsidRPr="000C2B2C">
        <w:rPr>
          <w:b/>
          <w:bCs/>
          <w:szCs w:val="24"/>
          <w:lang w:val="de-DE"/>
        </w:rPr>
        <w:t>Frist für die Beantwortung allfälliger Rückfragen um keine Ausschlussfrist handelt</w:t>
      </w:r>
      <w:r w:rsidR="0008593F">
        <w:rPr>
          <w:szCs w:val="24"/>
          <w:lang w:val="de-DE"/>
        </w:rPr>
        <w:t>. Daraus ergibt sich, dass bei Nichteinhaltung der Nachfrist die Finanzbehörde nicht berechtigt ist, die zugrundeliegenden Vorsteuererstattungsanträge endgültig abzulehnen.</w:t>
      </w:r>
      <w:r w:rsidR="000C2B2C">
        <w:rPr>
          <w:szCs w:val="24"/>
          <w:lang w:val="de-DE"/>
        </w:rPr>
        <w:t xml:space="preserve"> Es empfiehlt sich dennoch, die von den Behörden gesetzten Fristen einzuhalten um langwierige Rechtsmittelverfahren hintanzuhalten.</w:t>
      </w:r>
    </w:p>
    <w:p w14:paraId="4798683B" w14:textId="77777777" w:rsidR="00C76FE1" w:rsidRPr="00C76FE1" w:rsidRDefault="00C76FE1" w:rsidP="00986241">
      <w:pPr>
        <w:spacing w:line="276" w:lineRule="auto"/>
      </w:pPr>
    </w:p>
    <w:p w14:paraId="3CE382A4" w14:textId="623A010D" w:rsidR="00C76FE1" w:rsidRPr="00C76FE1" w:rsidRDefault="00C76FE1" w:rsidP="00986241">
      <w:pPr>
        <w:numPr>
          <w:ilvl w:val="0"/>
          <w:numId w:val="19"/>
        </w:numPr>
        <w:spacing w:line="276" w:lineRule="auto"/>
        <w:ind w:left="426" w:firstLine="0"/>
        <w:rPr>
          <w:b/>
          <w:bCs/>
          <w:u w:val="single"/>
        </w:rPr>
      </w:pPr>
      <w:r w:rsidRPr="00C76FE1">
        <w:rPr>
          <w:b/>
          <w:bCs/>
          <w:u w:val="single"/>
        </w:rPr>
        <w:t>Offenlegung des Jahresabschlusses 20</w:t>
      </w:r>
      <w:r w:rsidR="00C26200">
        <w:rPr>
          <w:b/>
          <w:bCs/>
          <w:u w:val="single"/>
        </w:rPr>
        <w:t>20</w:t>
      </w:r>
    </w:p>
    <w:p w14:paraId="6F82112B" w14:textId="5419DA60" w:rsidR="00C26200" w:rsidRDefault="00C76FE1" w:rsidP="00986241">
      <w:pPr>
        <w:spacing w:line="276" w:lineRule="auto"/>
        <w:ind w:left="426"/>
        <w:jc w:val="both"/>
        <w:rPr>
          <w:bCs/>
        </w:rPr>
      </w:pPr>
      <w:r w:rsidRPr="00C76FE1">
        <w:rPr>
          <w:bCs/>
        </w:rPr>
        <w:t xml:space="preserve">Kapitalgesellschaften und </w:t>
      </w:r>
      <w:r w:rsidRPr="00C76FE1">
        <w:t xml:space="preserve">sogenannte „kapitalistische Personengesellschaften“ (zB GmbH &amp; Co KG), bei denen keine natürliche Person als unbeschränkt haftender Komplementär fungiert, </w:t>
      </w:r>
      <w:r w:rsidRPr="00C76FE1">
        <w:rPr>
          <w:bCs/>
        </w:rPr>
        <w:t xml:space="preserve">sind verpflichtet, ihren Jahres-/Konzernabschluss spätestens neun Monate nach dem Bilanzstichtag an </w:t>
      </w:r>
      <w:r w:rsidRPr="00C76FE1">
        <w:rPr>
          <w:bCs/>
        </w:rPr>
        <w:lastRenderedPageBreak/>
        <w:t xml:space="preserve">das Firmenbuchgericht zu übermitteln. </w:t>
      </w:r>
      <w:r w:rsidRPr="009D0E82">
        <w:rPr>
          <w:bCs/>
        </w:rPr>
        <w:t xml:space="preserve">Die </w:t>
      </w:r>
      <w:r w:rsidR="009D0E82" w:rsidRPr="009D0E82">
        <w:rPr>
          <w:bCs/>
        </w:rPr>
        <w:t>Frist von neun Monaten wurde pandemiebedingt auf 12 Monate verlängert. Diese Regelung gilt für Bilanzstichtage, die vor dem 1.1.2021 liegen</w:t>
      </w:r>
      <w:r w:rsidR="009D0E82">
        <w:rPr>
          <w:bCs/>
        </w:rPr>
        <w:t>.</w:t>
      </w:r>
    </w:p>
    <w:p w14:paraId="121FCAE9" w14:textId="77777777" w:rsidR="00C26200" w:rsidRDefault="00C26200" w:rsidP="00986241">
      <w:pPr>
        <w:spacing w:line="276" w:lineRule="auto"/>
        <w:ind w:left="426"/>
        <w:jc w:val="both"/>
        <w:rPr>
          <w:bCs/>
        </w:rPr>
      </w:pPr>
    </w:p>
    <w:p w14:paraId="4693272B" w14:textId="4ABE6C90" w:rsidR="00C76FE1" w:rsidRDefault="00C76FE1" w:rsidP="00986241">
      <w:pPr>
        <w:spacing w:line="276" w:lineRule="auto"/>
        <w:ind w:left="426"/>
        <w:jc w:val="both"/>
      </w:pPr>
      <w:r w:rsidRPr="00C76FE1">
        <w:t xml:space="preserve">Die </w:t>
      </w:r>
      <w:r w:rsidR="00F67E96">
        <w:t xml:space="preserve">seit 1.5.2021 erhöhten </w:t>
      </w:r>
      <w:r w:rsidRPr="00C76FE1">
        <w:t>Kosten der Eintragung betragen € 2</w:t>
      </w:r>
      <w:r w:rsidR="00C26200">
        <w:t>2</w:t>
      </w:r>
      <w:r w:rsidRPr="00C76FE1">
        <w:t>, die gerichtliche Eingabegebühr beträgt für GmbH € 3</w:t>
      </w:r>
      <w:r w:rsidR="00C26200">
        <w:t>6</w:t>
      </w:r>
      <w:r w:rsidRPr="00C76FE1">
        <w:t xml:space="preserve"> bzw für AG € 1</w:t>
      </w:r>
      <w:r w:rsidR="00C26200">
        <w:t>6</w:t>
      </w:r>
      <w:r w:rsidRPr="00C76FE1">
        <w:t>2.</w:t>
      </w:r>
    </w:p>
    <w:p w14:paraId="1251DAAE" w14:textId="77777777" w:rsidR="00C26200" w:rsidRPr="00C76FE1" w:rsidRDefault="00C26200" w:rsidP="00986241">
      <w:pPr>
        <w:spacing w:line="276" w:lineRule="auto"/>
        <w:ind w:left="426"/>
        <w:jc w:val="both"/>
      </w:pPr>
    </w:p>
    <w:p w14:paraId="4C069227" w14:textId="60DB086B" w:rsidR="00986241" w:rsidRDefault="00C76FE1" w:rsidP="00986241">
      <w:pPr>
        <w:spacing w:line="276" w:lineRule="auto"/>
        <w:ind w:left="426"/>
        <w:jc w:val="both"/>
      </w:pPr>
      <w:r w:rsidRPr="00C76FE1">
        <w:t xml:space="preserve">Bei nicht fristgerechter Einreichung (Achtung: es gilt Einlangen beim Firmenbuchgericht!) droht eine </w:t>
      </w:r>
      <w:r w:rsidRPr="00986241">
        <w:rPr>
          <w:b/>
          <w:bCs/>
        </w:rPr>
        <w:t>automatische Zwangsstrafe</w:t>
      </w:r>
      <w:r w:rsidRPr="00986241">
        <w:t xml:space="preserve"> von mindestens </w:t>
      </w:r>
      <w:r w:rsidRPr="00986241">
        <w:rPr>
          <w:b/>
          <w:bCs/>
        </w:rPr>
        <w:t>€ 700</w:t>
      </w:r>
      <w:r w:rsidRPr="00C76FE1">
        <w:t xml:space="preserve"> </w:t>
      </w:r>
      <w:r w:rsidR="00986241" w:rsidRPr="00986241">
        <w:rPr>
          <w:b/>
          <w:bCs/>
        </w:rPr>
        <w:t>pro Geschäftsführer</w:t>
      </w:r>
      <w:r w:rsidR="00986241" w:rsidRPr="00986241">
        <w:t> </w:t>
      </w:r>
      <w:r w:rsidR="00986241" w:rsidRPr="00986241">
        <w:rPr>
          <w:b/>
          <w:bCs/>
        </w:rPr>
        <w:t>(Vorstand) und Gesellschaft</w:t>
      </w:r>
      <w:r w:rsidR="00986241">
        <w:t>.</w:t>
      </w:r>
      <w:r w:rsidR="00986241" w:rsidRPr="00986241">
        <w:t xml:space="preserve"> Wird der Jahresabschluss trotz Verhängung einer Strafe nicht offengelegt, so folgen alle zwei Monate automatisch weitere Zwangsstrafen, bis der Jahresabschluss beim Firmenbuch hinterlegt ist. Bei mittelgroßen Kapitalgesellschaften erhöht sich die Zwangsstrafe im ordentlichen Verfahren auf das Dreifache, also mindestens </w:t>
      </w:r>
      <w:r w:rsidR="00986241">
        <w:t>€</w:t>
      </w:r>
      <w:r w:rsidR="00986241" w:rsidRPr="00986241">
        <w:t xml:space="preserve"> 2.100 pro Organ und Gesellschaft. Bei großen Kapitalgesellschaften sogar auf das Sechsfache, also mindestens </w:t>
      </w:r>
      <w:r w:rsidR="00986241">
        <w:t>€</w:t>
      </w:r>
      <w:r w:rsidR="00986241" w:rsidRPr="00986241">
        <w:t xml:space="preserve"> 4.200. Bei Kleinstkapitalgesellschaften halbiert sich der Strafrahmen und beträgt </w:t>
      </w:r>
      <w:r w:rsidR="00986241">
        <w:t>€</w:t>
      </w:r>
      <w:r w:rsidR="00986241" w:rsidRPr="00986241">
        <w:t xml:space="preserve"> 350.</w:t>
      </w:r>
      <w:r w:rsidR="00986241" w:rsidRPr="00C76FE1">
        <w:t xml:space="preserve"> </w:t>
      </w:r>
    </w:p>
    <w:p w14:paraId="611A11D9" w14:textId="3321B9C3" w:rsidR="00986241" w:rsidRDefault="00986241" w:rsidP="00986241">
      <w:pPr>
        <w:spacing w:line="276" w:lineRule="auto"/>
        <w:ind w:left="426"/>
        <w:jc w:val="both"/>
      </w:pPr>
    </w:p>
    <w:p w14:paraId="4A7D7E30" w14:textId="24CB78C2" w:rsidR="000B3B38" w:rsidRPr="00BA476D" w:rsidRDefault="00907BDF" w:rsidP="00986241">
      <w:pPr>
        <w:pStyle w:val="Listenabsatz"/>
        <w:numPr>
          <w:ilvl w:val="0"/>
          <w:numId w:val="19"/>
        </w:numPr>
        <w:spacing w:line="276" w:lineRule="auto"/>
        <w:jc w:val="both"/>
        <w:rPr>
          <w:b/>
          <w:bCs/>
          <w:u w:val="single"/>
        </w:rPr>
      </w:pPr>
      <w:r w:rsidRPr="00BA476D">
        <w:rPr>
          <w:b/>
          <w:bCs/>
          <w:u w:val="single"/>
        </w:rPr>
        <w:t>Spendenbegünstigungsbestätigung und Spendengütesiegel</w:t>
      </w:r>
    </w:p>
    <w:p w14:paraId="2CE465F9" w14:textId="527DEEE9" w:rsidR="00907BDF" w:rsidRDefault="00A1023E" w:rsidP="00986241">
      <w:pPr>
        <w:pStyle w:val="Listenabsatz"/>
        <w:spacing w:line="276" w:lineRule="auto"/>
        <w:ind w:left="426"/>
        <w:jc w:val="both"/>
      </w:pPr>
      <w:r>
        <w:t>I</w:t>
      </w:r>
      <w:r w:rsidR="00BA476D">
        <w:t xml:space="preserve">m </w:t>
      </w:r>
      <w:proofErr w:type="spellStart"/>
      <w:r w:rsidR="00BA476D">
        <w:t>Coronajahr</w:t>
      </w:r>
      <w:proofErr w:type="spellEnd"/>
      <w:r w:rsidR="00BA476D">
        <w:t xml:space="preserve"> 2020 </w:t>
      </w:r>
      <w:r>
        <w:t xml:space="preserve">wurde </w:t>
      </w:r>
      <w:r w:rsidR="00BA476D">
        <w:t>d</w:t>
      </w:r>
      <w:r w:rsidR="00907BDF">
        <w:t xml:space="preserve">ie Frist für die Vorlage der Bestätigung des Wirtschaftsprüfers über das Vorliegen der einkommensteuerlichen Voraussetzung </w:t>
      </w:r>
      <w:r w:rsidR="00BA476D">
        <w:t xml:space="preserve">2019 </w:t>
      </w:r>
      <w:r w:rsidR="00907BDF">
        <w:t xml:space="preserve">für den Verbleib in der </w:t>
      </w:r>
      <w:r w:rsidR="00907BDF" w:rsidRPr="00986241">
        <w:rPr>
          <w:b/>
          <w:bCs/>
        </w:rPr>
        <w:t>Liste der spendenbegünstigten Einrichtungen</w:t>
      </w:r>
      <w:r w:rsidR="00907BDF">
        <w:t xml:space="preserve"> </w:t>
      </w:r>
      <w:r w:rsidR="00BA476D">
        <w:t>von Ende September auf Ende Dezember verlängert. N</w:t>
      </w:r>
      <w:r w:rsidR="00907BDF">
        <w:t xml:space="preserve">ach Ansicht des BMF </w:t>
      </w:r>
      <w:r w:rsidR="00BA476D">
        <w:t xml:space="preserve">ist diese Regelung auch </w:t>
      </w:r>
      <w:r w:rsidR="00907BDF">
        <w:t xml:space="preserve">noch auf das Kalenderjahr 2020 anzuwenden, sodass die </w:t>
      </w:r>
      <w:r w:rsidR="00907BDF" w:rsidRPr="00BA476D">
        <w:rPr>
          <w:b/>
          <w:bCs/>
        </w:rPr>
        <w:t xml:space="preserve">Frist </w:t>
      </w:r>
      <w:r w:rsidR="00BA476D" w:rsidRPr="00BA476D">
        <w:rPr>
          <w:b/>
          <w:bCs/>
        </w:rPr>
        <w:t>für die Bestätigung 2020</w:t>
      </w:r>
      <w:r w:rsidR="00BA476D">
        <w:t xml:space="preserve"> </w:t>
      </w:r>
      <w:r w:rsidR="00907BDF" w:rsidRPr="00BA476D">
        <w:rPr>
          <w:b/>
          <w:bCs/>
        </w:rPr>
        <w:t>am 31.12.2021</w:t>
      </w:r>
      <w:r w:rsidR="00907BDF">
        <w:t xml:space="preserve"> endet.</w:t>
      </w:r>
    </w:p>
    <w:p w14:paraId="31FACD44" w14:textId="7DA18650" w:rsidR="00986241" w:rsidRDefault="00986241" w:rsidP="00986241">
      <w:pPr>
        <w:pStyle w:val="Listenabsatz"/>
        <w:spacing w:line="276" w:lineRule="auto"/>
        <w:ind w:left="426"/>
        <w:jc w:val="both"/>
      </w:pPr>
    </w:p>
    <w:p w14:paraId="38AA9862" w14:textId="5FD37D5E" w:rsidR="00986241" w:rsidRDefault="00986241" w:rsidP="00986241">
      <w:pPr>
        <w:pStyle w:val="Listenabsatz"/>
        <w:spacing w:line="276" w:lineRule="auto"/>
        <w:ind w:left="426"/>
        <w:jc w:val="both"/>
      </w:pPr>
      <w:r>
        <w:t>Für sämtliche heuer noch durchzuführende</w:t>
      </w:r>
      <w:r w:rsidR="00C60FF8">
        <w:t>n</w:t>
      </w:r>
      <w:r>
        <w:t xml:space="preserve"> </w:t>
      </w:r>
      <w:r w:rsidRPr="00986241">
        <w:rPr>
          <w:b/>
          <w:bCs/>
        </w:rPr>
        <w:t>Spendengütesiegel-Verlängerungen</w:t>
      </w:r>
      <w:r>
        <w:t xml:space="preserve"> wird der </w:t>
      </w:r>
      <w:proofErr w:type="gramStart"/>
      <w:r>
        <w:t>Termin  laut</w:t>
      </w:r>
      <w:proofErr w:type="gramEnd"/>
      <w:r>
        <w:t xml:space="preserve"> Auskunft der KSW ebenfalls auf den </w:t>
      </w:r>
      <w:r w:rsidRPr="00986241">
        <w:rPr>
          <w:b/>
          <w:bCs/>
        </w:rPr>
        <w:t>31.12.2021</w:t>
      </w:r>
      <w:r>
        <w:t xml:space="preserve"> verlängert.</w:t>
      </w:r>
    </w:p>
    <w:p w14:paraId="4FDD2DED" w14:textId="7337CDA3" w:rsidR="00383AF8" w:rsidRDefault="00383AF8" w:rsidP="00986241">
      <w:pPr>
        <w:pStyle w:val="Listenabsatz"/>
        <w:spacing w:line="276" w:lineRule="auto"/>
        <w:ind w:left="426"/>
        <w:jc w:val="both"/>
      </w:pPr>
    </w:p>
    <w:p w14:paraId="3ED8DFAD" w14:textId="12C82FBB" w:rsidR="00383AF8" w:rsidRDefault="00383AF8" w:rsidP="00383AF8">
      <w:pPr>
        <w:pStyle w:val="Listenabsatz"/>
        <w:numPr>
          <w:ilvl w:val="0"/>
          <w:numId w:val="19"/>
        </w:numPr>
        <w:spacing w:line="276" w:lineRule="auto"/>
        <w:jc w:val="both"/>
        <w:rPr>
          <w:b/>
          <w:bCs/>
          <w:u w:val="single"/>
        </w:rPr>
      </w:pPr>
      <w:r w:rsidRPr="00383AF8">
        <w:rPr>
          <w:b/>
          <w:bCs/>
          <w:u w:val="single"/>
        </w:rPr>
        <w:t>Termine für</w:t>
      </w:r>
      <w:r>
        <w:rPr>
          <w:b/>
          <w:bCs/>
          <w:u w:val="single"/>
        </w:rPr>
        <w:t xml:space="preserve"> </w:t>
      </w:r>
      <w:r w:rsidRPr="00383AF8">
        <w:rPr>
          <w:b/>
          <w:bCs/>
          <w:u w:val="single"/>
        </w:rPr>
        <w:t xml:space="preserve">Anträge auf </w:t>
      </w:r>
      <w:r w:rsidR="00183D18">
        <w:rPr>
          <w:b/>
          <w:bCs/>
          <w:u w:val="single"/>
        </w:rPr>
        <w:t xml:space="preserve">wichtige </w:t>
      </w:r>
      <w:r w:rsidRPr="00383AF8">
        <w:rPr>
          <w:b/>
          <w:bCs/>
          <w:u w:val="single"/>
        </w:rPr>
        <w:t>COVID-19-Unterstützungsmaßnahmen</w:t>
      </w:r>
    </w:p>
    <w:p w14:paraId="0500B27B" w14:textId="59A511FF" w:rsidR="00183D18" w:rsidRDefault="00183D18" w:rsidP="00F24CC5">
      <w:pPr>
        <w:tabs>
          <w:tab w:val="left" w:pos="1588"/>
        </w:tabs>
        <w:spacing w:line="276" w:lineRule="auto"/>
        <w:ind w:left="1560" w:hanging="1135"/>
        <w:jc w:val="both"/>
        <w:rPr>
          <w:b/>
          <w:bCs/>
        </w:rPr>
      </w:pPr>
      <w:r>
        <w:rPr>
          <w:b/>
          <w:bCs/>
        </w:rPr>
        <w:t>30.6.202</w:t>
      </w:r>
      <w:r w:rsidRPr="005C7DEB">
        <w:rPr>
          <w:b/>
          <w:bCs/>
        </w:rPr>
        <w:t>1:</w:t>
      </w:r>
      <w:r w:rsidR="00F24CC5">
        <w:rPr>
          <w:b/>
          <w:bCs/>
        </w:rPr>
        <w:tab/>
      </w:r>
      <w:r w:rsidRPr="00183D18">
        <w:t xml:space="preserve">Ende der Antragsfrist für den </w:t>
      </w:r>
      <w:r w:rsidRPr="00183D18">
        <w:rPr>
          <w:b/>
          <w:bCs/>
        </w:rPr>
        <w:t>Lockdown-Umsatzersatz II</w:t>
      </w:r>
      <w:r w:rsidRPr="00183D18">
        <w:t xml:space="preserve"> (für indirekt erheblich betroffene Unternehmen)</w:t>
      </w:r>
    </w:p>
    <w:p w14:paraId="0C37CAFE" w14:textId="0260E9E8" w:rsidR="00383AF8" w:rsidRPr="00383AF8" w:rsidRDefault="00383AF8" w:rsidP="00F24CC5">
      <w:pPr>
        <w:tabs>
          <w:tab w:val="left" w:pos="1588"/>
        </w:tabs>
        <w:spacing w:line="276" w:lineRule="auto"/>
        <w:ind w:left="1560" w:hanging="1135"/>
        <w:jc w:val="both"/>
      </w:pPr>
      <w:r w:rsidRPr="00383AF8">
        <w:rPr>
          <w:b/>
          <w:bCs/>
        </w:rPr>
        <w:t>15.7.20</w:t>
      </w:r>
      <w:r w:rsidRPr="005C7DEB">
        <w:rPr>
          <w:b/>
          <w:bCs/>
        </w:rPr>
        <w:t>21</w:t>
      </w:r>
      <w:r>
        <w:t>:</w:t>
      </w:r>
      <w:r w:rsidR="00F24CC5">
        <w:tab/>
      </w:r>
      <w:r>
        <w:t xml:space="preserve">Ende der Antragsfrist für den </w:t>
      </w:r>
      <w:r w:rsidRPr="00183D18">
        <w:rPr>
          <w:b/>
          <w:bCs/>
        </w:rPr>
        <w:t>Ausfallsbonus April 2021</w:t>
      </w:r>
    </w:p>
    <w:p w14:paraId="537337BB" w14:textId="0D9DF9C2" w:rsidR="00383AF8" w:rsidRPr="00383AF8" w:rsidRDefault="00383AF8" w:rsidP="00F24CC5">
      <w:pPr>
        <w:tabs>
          <w:tab w:val="left" w:pos="1588"/>
        </w:tabs>
        <w:spacing w:line="276" w:lineRule="auto"/>
        <w:ind w:left="1560" w:hanging="1135"/>
        <w:jc w:val="both"/>
      </w:pPr>
      <w:r w:rsidRPr="00383AF8">
        <w:rPr>
          <w:b/>
          <w:bCs/>
        </w:rPr>
        <w:t>15.8.202</w:t>
      </w:r>
      <w:r w:rsidRPr="005C7DEB">
        <w:rPr>
          <w:b/>
          <w:bCs/>
        </w:rPr>
        <w:t>1:</w:t>
      </w:r>
      <w:r w:rsidR="00F24CC5">
        <w:tab/>
      </w:r>
      <w:r>
        <w:t xml:space="preserve">Ende der Antragsfrist für den </w:t>
      </w:r>
      <w:r w:rsidRPr="00183D18">
        <w:rPr>
          <w:b/>
          <w:bCs/>
        </w:rPr>
        <w:t>Ausfallsbonus Mai 2021</w:t>
      </w:r>
    </w:p>
    <w:p w14:paraId="062DE963" w14:textId="08CD012D" w:rsidR="00383AF8" w:rsidRPr="00183D18" w:rsidRDefault="00383AF8" w:rsidP="00F24CC5">
      <w:pPr>
        <w:tabs>
          <w:tab w:val="left" w:pos="1588"/>
        </w:tabs>
        <w:spacing w:line="276" w:lineRule="auto"/>
        <w:ind w:left="1560" w:hanging="1135"/>
        <w:jc w:val="both"/>
        <w:rPr>
          <w:b/>
          <w:bCs/>
        </w:rPr>
      </w:pPr>
      <w:r w:rsidRPr="00383AF8">
        <w:rPr>
          <w:b/>
          <w:bCs/>
        </w:rPr>
        <w:t>15.9.202</w:t>
      </w:r>
      <w:r w:rsidRPr="005C7DEB">
        <w:rPr>
          <w:b/>
          <w:bCs/>
        </w:rPr>
        <w:t>1:</w:t>
      </w:r>
      <w:r w:rsidR="00F24CC5">
        <w:tab/>
        <w:t xml:space="preserve">Ende </w:t>
      </w:r>
      <w:r>
        <w:t xml:space="preserve">der Antragsfrist für den </w:t>
      </w:r>
      <w:r w:rsidRPr="00183D18">
        <w:rPr>
          <w:b/>
          <w:bCs/>
        </w:rPr>
        <w:t>Ausfallsbonus Juni 2021</w:t>
      </w:r>
    </w:p>
    <w:p w14:paraId="44B93342" w14:textId="77777777" w:rsidR="00383AF8" w:rsidRPr="00183D18" w:rsidRDefault="00383AF8" w:rsidP="00D176AF">
      <w:pPr>
        <w:pStyle w:val="Listenabsatz"/>
        <w:spacing w:line="276" w:lineRule="auto"/>
        <w:ind w:left="720" w:hanging="76"/>
        <w:jc w:val="both"/>
        <w:rPr>
          <w:b/>
          <w:bCs/>
          <w:u w:val="single"/>
        </w:rPr>
      </w:pPr>
    </w:p>
    <w:p w14:paraId="495F276A" w14:textId="133E747C" w:rsidR="005542B8" w:rsidRPr="00183D18" w:rsidRDefault="00383AF8" w:rsidP="00F24CC5">
      <w:pPr>
        <w:tabs>
          <w:tab w:val="left" w:pos="1588"/>
        </w:tabs>
        <w:spacing w:line="276" w:lineRule="auto"/>
        <w:ind w:left="1560" w:hanging="1135"/>
        <w:jc w:val="both"/>
        <w:rPr>
          <w:b/>
          <w:bCs/>
        </w:rPr>
      </w:pPr>
      <w:r w:rsidRPr="00F24CC5">
        <w:rPr>
          <w:b/>
          <w:bCs/>
        </w:rPr>
        <w:t>31.8.2021:</w:t>
      </w:r>
      <w:r w:rsidR="00F24CC5">
        <w:tab/>
      </w:r>
      <w:r>
        <w:t>Ende der</w:t>
      </w:r>
      <w:r w:rsidRPr="00383AF8">
        <w:t xml:space="preserve"> </w:t>
      </w:r>
      <w:r>
        <w:t>A</w:t>
      </w:r>
      <w:r w:rsidRPr="00383AF8">
        <w:t xml:space="preserve">ntragsmöglichkeit für </w:t>
      </w:r>
      <w:r>
        <w:t xml:space="preserve">den </w:t>
      </w:r>
      <w:r w:rsidRPr="00183D18">
        <w:rPr>
          <w:b/>
          <w:bCs/>
        </w:rPr>
        <w:t>Fixkostenzuschuss I</w:t>
      </w:r>
    </w:p>
    <w:p w14:paraId="3E9E4304" w14:textId="77777777" w:rsidR="005C7DEB" w:rsidRDefault="00383AF8" w:rsidP="00F24CC5">
      <w:pPr>
        <w:tabs>
          <w:tab w:val="left" w:pos="1588"/>
        </w:tabs>
        <w:spacing w:line="276" w:lineRule="auto"/>
        <w:ind w:left="1560" w:hanging="1135"/>
        <w:jc w:val="both"/>
        <w:rPr>
          <w:b/>
          <w:bCs/>
        </w:rPr>
      </w:pPr>
      <w:r w:rsidRPr="00383AF8">
        <w:rPr>
          <w:b/>
          <w:bCs/>
        </w:rPr>
        <w:t>31.12.2021</w:t>
      </w:r>
      <w:r w:rsidR="00F24CC5">
        <w:rPr>
          <w:b/>
          <w:bCs/>
        </w:rPr>
        <w:t>:</w:t>
      </w:r>
      <w:r w:rsidR="00F24CC5">
        <w:rPr>
          <w:b/>
          <w:bCs/>
        </w:rPr>
        <w:tab/>
      </w:r>
      <w:r>
        <w:t xml:space="preserve">Ende der Antragsmöglichkeit für den </w:t>
      </w:r>
      <w:r w:rsidRPr="00183D18">
        <w:rPr>
          <w:b/>
          <w:bCs/>
        </w:rPr>
        <w:t>Fixkostenzuschuss 800.000</w:t>
      </w:r>
    </w:p>
    <w:p w14:paraId="369BC56C" w14:textId="17372EAA" w:rsidR="00383AF8" w:rsidRPr="00383AF8" w:rsidRDefault="005C7DEB" w:rsidP="00F24CC5">
      <w:pPr>
        <w:tabs>
          <w:tab w:val="left" w:pos="1588"/>
        </w:tabs>
        <w:spacing w:line="276" w:lineRule="auto"/>
        <w:ind w:left="1560" w:hanging="1135"/>
        <w:jc w:val="both"/>
      </w:pPr>
      <w:r>
        <w:rPr>
          <w:b/>
          <w:bCs/>
        </w:rPr>
        <w:t>31.12.2021:</w:t>
      </w:r>
      <w:r>
        <w:rPr>
          <w:b/>
          <w:bCs/>
        </w:rPr>
        <w:tab/>
      </w:r>
      <w:r w:rsidRPr="005C7DEB">
        <w:t>Ende der Antragsmöglichkeit für den</w:t>
      </w:r>
      <w:r>
        <w:rPr>
          <w:b/>
          <w:bCs/>
        </w:rPr>
        <w:t xml:space="preserve"> Verlustersatz</w:t>
      </w:r>
      <w:r w:rsidR="00383AF8">
        <w:t xml:space="preserve"> </w:t>
      </w:r>
    </w:p>
    <w:p w14:paraId="0C006DC6" w14:textId="680AB3FA" w:rsidR="00383AF8" w:rsidRDefault="00383AF8" w:rsidP="00383AF8">
      <w:pPr>
        <w:spacing w:line="276" w:lineRule="auto"/>
        <w:ind w:left="360"/>
        <w:jc w:val="both"/>
      </w:pPr>
    </w:p>
    <w:sectPr w:rsidR="00383AF8" w:rsidSect="002E08C2">
      <w:footerReference w:type="default" r:id="rId9"/>
      <w:footerReference w:type="first" r:id="rId10"/>
      <w:pgSz w:w="11907" w:h="16840" w:code="9"/>
      <w:pgMar w:top="1985" w:right="1275" w:bottom="1134" w:left="1418" w:header="720" w:footer="72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6E79" w14:textId="77777777" w:rsidR="006978C9" w:rsidRDefault="006978C9">
      <w:r>
        <w:separator/>
      </w:r>
    </w:p>
  </w:endnote>
  <w:endnote w:type="continuationSeparator" w:id="0">
    <w:p w14:paraId="335BFF53" w14:textId="77777777" w:rsidR="006978C9" w:rsidRDefault="0069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PCL6)">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Bskvll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C454" w14:textId="77777777" w:rsidR="00383AF8" w:rsidRDefault="00383AF8">
    <w:pPr>
      <w:pStyle w:val="Fuzeile"/>
      <w:rPr>
        <w:sz w:val="16"/>
      </w:rPr>
    </w:pPr>
  </w:p>
  <w:p w14:paraId="3611DF38" w14:textId="11666ABA" w:rsidR="00383AF8" w:rsidRPr="000B2C0F" w:rsidRDefault="00383AF8">
    <w:pPr>
      <w:pStyle w:val="Fuzeile"/>
      <w:rPr>
        <w:sz w:val="16"/>
      </w:rPr>
    </w:pPr>
    <w:r>
      <w:rPr>
        <w:sz w:val="16"/>
      </w:rPr>
      <w:sym w:font="Symbol" w:char="00E3"/>
    </w:r>
    <w:r>
      <w:rPr>
        <w:sz w:val="16"/>
      </w:rPr>
      <w:t xml:space="preserve"> ÖGSW- Klienten- und KollegenInfo, Stand 12.6.2021</w:t>
    </w:r>
    <w:r>
      <w:rPr>
        <w:sz w:val="16"/>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Pr>
        <w:rStyle w:val="Seitenzahl"/>
        <w:noProof/>
      </w:rPr>
      <w:t>9</w:t>
    </w:r>
    <w:r>
      <w:rPr>
        <w:rStyle w:val="Seitenzahl"/>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0AEA" w14:textId="77777777" w:rsidR="00383AF8" w:rsidRDefault="00383AF8">
    <w:pPr>
      <w:pStyle w:val="Fuzeile"/>
      <w:rPr>
        <w:sz w:val="14"/>
        <w:szCs w:val="14"/>
      </w:rPr>
    </w:pPr>
    <w:r>
      <w:rPr>
        <w:sz w:val="14"/>
        <w:szCs w:val="14"/>
      </w:rPr>
      <w:t xml:space="preserve">Hinweis: Wir haben die vorliegende Klienten-Info mit größtmöglicher Sorgfalt erstellt, bitten aber um Verständnis dafür, dass sie weder eine persönliche Beratung ersetzen kann </w:t>
    </w:r>
    <w:proofErr w:type="gramStart"/>
    <w:r>
      <w:rPr>
        <w:sz w:val="14"/>
        <w:szCs w:val="14"/>
      </w:rPr>
      <w:t>noch</w:t>
    </w:r>
    <w:proofErr w:type="gramEnd"/>
    <w:r>
      <w:rPr>
        <w:sz w:val="14"/>
        <w:szCs w:val="14"/>
      </w:rPr>
      <w:t xml:space="preserve"> dass wir irgendeine Haftung für deren Inhalt übernehmen können.</w:t>
    </w:r>
  </w:p>
  <w:p w14:paraId="5F0E6608" w14:textId="77777777" w:rsidR="00383AF8" w:rsidRDefault="00383AF8" w:rsidP="008C48E3">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Pr>
        <w:rStyle w:val="Seitenzahl"/>
        <w:noProof/>
      </w:rPr>
      <w:t>9</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9AF0" w14:textId="77777777" w:rsidR="006978C9" w:rsidRDefault="006978C9">
      <w:r>
        <w:separator/>
      </w:r>
    </w:p>
  </w:footnote>
  <w:footnote w:type="continuationSeparator" w:id="0">
    <w:p w14:paraId="6FC00B63" w14:textId="77777777" w:rsidR="006978C9" w:rsidRDefault="0069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B8"/>
    <w:multiLevelType w:val="hybridMultilevel"/>
    <w:tmpl w:val="B2D4081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365091"/>
    <w:multiLevelType w:val="hybridMultilevel"/>
    <w:tmpl w:val="E4F8AB5E"/>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F4441"/>
    <w:multiLevelType w:val="hybridMultilevel"/>
    <w:tmpl w:val="577802C8"/>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1E50E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04B6"/>
    <w:multiLevelType w:val="hybridMultilevel"/>
    <w:tmpl w:val="C9AEAFE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E35A96"/>
    <w:multiLevelType w:val="hybridMultilevel"/>
    <w:tmpl w:val="03DC51D4"/>
    <w:lvl w:ilvl="0" w:tplc="89865BE0">
      <w:start w:val="1"/>
      <w:numFmt w:val="bullet"/>
      <w:pStyle w:val="Aufzhlung1"/>
      <w:lvlText w:val=""/>
      <w:lvlJc w:val="left"/>
      <w:pPr>
        <w:tabs>
          <w:tab w:val="num" w:pos="360"/>
        </w:tabs>
        <w:ind w:left="360" w:hanging="360"/>
      </w:pPr>
      <w:rPr>
        <w:rFonts w:ascii="Wingdings" w:hAnsi="Wingdings" w:hint="default"/>
        <w:color w:val="auto"/>
      </w:rPr>
    </w:lvl>
    <w:lvl w:ilvl="1" w:tplc="1106776A" w:tentative="1">
      <w:start w:val="1"/>
      <w:numFmt w:val="bullet"/>
      <w:lvlText w:val="o"/>
      <w:lvlJc w:val="left"/>
      <w:pPr>
        <w:tabs>
          <w:tab w:val="num" w:pos="1440"/>
        </w:tabs>
        <w:ind w:left="1440" w:hanging="360"/>
      </w:pPr>
      <w:rPr>
        <w:rFonts w:ascii="Courier New" w:hAnsi="Courier New" w:hint="default"/>
      </w:rPr>
    </w:lvl>
    <w:lvl w:ilvl="2" w:tplc="A7502928" w:tentative="1">
      <w:start w:val="1"/>
      <w:numFmt w:val="bullet"/>
      <w:lvlText w:val=""/>
      <w:lvlJc w:val="left"/>
      <w:pPr>
        <w:tabs>
          <w:tab w:val="num" w:pos="2160"/>
        </w:tabs>
        <w:ind w:left="2160" w:hanging="360"/>
      </w:pPr>
      <w:rPr>
        <w:rFonts w:ascii="Wingdings" w:hAnsi="Wingdings" w:hint="default"/>
      </w:rPr>
    </w:lvl>
    <w:lvl w:ilvl="3" w:tplc="3EFE14BE" w:tentative="1">
      <w:start w:val="1"/>
      <w:numFmt w:val="bullet"/>
      <w:lvlText w:val=""/>
      <w:lvlJc w:val="left"/>
      <w:pPr>
        <w:tabs>
          <w:tab w:val="num" w:pos="2880"/>
        </w:tabs>
        <w:ind w:left="2880" w:hanging="360"/>
      </w:pPr>
      <w:rPr>
        <w:rFonts w:ascii="Symbol" w:hAnsi="Symbol" w:hint="default"/>
      </w:rPr>
    </w:lvl>
    <w:lvl w:ilvl="4" w:tplc="383005B4" w:tentative="1">
      <w:start w:val="1"/>
      <w:numFmt w:val="bullet"/>
      <w:lvlText w:val="o"/>
      <w:lvlJc w:val="left"/>
      <w:pPr>
        <w:tabs>
          <w:tab w:val="num" w:pos="3600"/>
        </w:tabs>
        <w:ind w:left="3600" w:hanging="360"/>
      </w:pPr>
      <w:rPr>
        <w:rFonts w:ascii="Courier New" w:hAnsi="Courier New" w:hint="default"/>
      </w:rPr>
    </w:lvl>
    <w:lvl w:ilvl="5" w:tplc="2F5A0A70" w:tentative="1">
      <w:start w:val="1"/>
      <w:numFmt w:val="bullet"/>
      <w:lvlText w:val=""/>
      <w:lvlJc w:val="left"/>
      <w:pPr>
        <w:tabs>
          <w:tab w:val="num" w:pos="4320"/>
        </w:tabs>
        <w:ind w:left="4320" w:hanging="360"/>
      </w:pPr>
      <w:rPr>
        <w:rFonts w:ascii="Wingdings" w:hAnsi="Wingdings" w:hint="default"/>
      </w:rPr>
    </w:lvl>
    <w:lvl w:ilvl="6" w:tplc="D47ADE18" w:tentative="1">
      <w:start w:val="1"/>
      <w:numFmt w:val="bullet"/>
      <w:lvlText w:val=""/>
      <w:lvlJc w:val="left"/>
      <w:pPr>
        <w:tabs>
          <w:tab w:val="num" w:pos="5040"/>
        </w:tabs>
        <w:ind w:left="5040" w:hanging="360"/>
      </w:pPr>
      <w:rPr>
        <w:rFonts w:ascii="Symbol" w:hAnsi="Symbol" w:hint="default"/>
      </w:rPr>
    </w:lvl>
    <w:lvl w:ilvl="7" w:tplc="03F0792A" w:tentative="1">
      <w:start w:val="1"/>
      <w:numFmt w:val="bullet"/>
      <w:lvlText w:val="o"/>
      <w:lvlJc w:val="left"/>
      <w:pPr>
        <w:tabs>
          <w:tab w:val="num" w:pos="5760"/>
        </w:tabs>
        <w:ind w:left="5760" w:hanging="360"/>
      </w:pPr>
      <w:rPr>
        <w:rFonts w:ascii="Courier New" w:hAnsi="Courier New" w:hint="default"/>
      </w:rPr>
    </w:lvl>
    <w:lvl w:ilvl="8" w:tplc="CFC406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77FE7"/>
    <w:multiLevelType w:val="hybridMultilevel"/>
    <w:tmpl w:val="1DDCF13C"/>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81F9C"/>
    <w:multiLevelType w:val="hybridMultilevel"/>
    <w:tmpl w:val="A10486DA"/>
    <w:lvl w:ilvl="0" w:tplc="0C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210B5D74"/>
    <w:multiLevelType w:val="hybridMultilevel"/>
    <w:tmpl w:val="0E16CD3C"/>
    <w:lvl w:ilvl="0" w:tplc="D806193C">
      <w:start w:val="1"/>
      <w:numFmt w:val="bullet"/>
      <w:lvlText w:val="-"/>
      <w:lvlJc w:val="left"/>
      <w:pPr>
        <w:ind w:left="644" w:hanging="360"/>
      </w:pPr>
      <w:rPr>
        <w:rFonts w:ascii="Arial" w:hAnsi="Arial"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2B5F22CE"/>
    <w:multiLevelType w:val="hybridMultilevel"/>
    <w:tmpl w:val="D31C66BA"/>
    <w:lvl w:ilvl="0" w:tplc="D806193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CD7144"/>
    <w:multiLevelType w:val="hybridMultilevel"/>
    <w:tmpl w:val="FC0CE72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B11FC"/>
    <w:multiLevelType w:val="multilevel"/>
    <w:tmpl w:val="BAF253C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3EE81B2B"/>
    <w:multiLevelType w:val="hybridMultilevel"/>
    <w:tmpl w:val="F5402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940DD8"/>
    <w:multiLevelType w:val="hybridMultilevel"/>
    <w:tmpl w:val="261A04FA"/>
    <w:lvl w:ilvl="0" w:tplc="36D63C2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3474BAF"/>
    <w:multiLevelType w:val="hybridMultilevel"/>
    <w:tmpl w:val="4E4E7FBE"/>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F5363F"/>
    <w:multiLevelType w:val="hybridMultilevel"/>
    <w:tmpl w:val="0CAEE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F7C48"/>
    <w:multiLevelType w:val="multilevel"/>
    <w:tmpl w:val="AE7EBEE2"/>
    <w:lvl w:ilvl="0">
      <w:start w:val="1"/>
      <w:numFmt w:val="decimal"/>
      <w:lvlText w:val="%1."/>
      <w:lvlJc w:val="left"/>
      <w:pPr>
        <w:tabs>
          <w:tab w:val="num" w:pos="9505"/>
        </w:tabs>
        <w:ind w:left="9505" w:hanging="432"/>
      </w:pPr>
      <w:rPr>
        <w:rFonts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A057A2"/>
    <w:multiLevelType w:val="hybridMultilevel"/>
    <w:tmpl w:val="08040208"/>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EA7D0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65127A"/>
    <w:multiLevelType w:val="hybridMultilevel"/>
    <w:tmpl w:val="0D54C1C8"/>
    <w:lvl w:ilvl="0" w:tplc="0C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664E1983"/>
    <w:multiLevelType w:val="hybridMultilevel"/>
    <w:tmpl w:val="CDE2D742"/>
    <w:lvl w:ilvl="0" w:tplc="0C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1E455E"/>
    <w:multiLevelType w:val="hybridMultilevel"/>
    <w:tmpl w:val="40E62BC2"/>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F74CDE"/>
    <w:multiLevelType w:val="hybridMultilevel"/>
    <w:tmpl w:val="45183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381D30"/>
    <w:multiLevelType w:val="hybridMultilevel"/>
    <w:tmpl w:val="1CDA22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274914"/>
    <w:multiLevelType w:val="hybridMultilevel"/>
    <w:tmpl w:val="9B22FCFA"/>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D101E9"/>
    <w:multiLevelType w:val="hybridMultilevel"/>
    <w:tmpl w:val="1048ED86"/>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C80BC1"/>
    <w:multiLevelType w:val="hybridMultilevel"/>
    <w:tmpl w:val="B7002AF2"/>
    <w:lvl w:ilvl="0" w:tplc="D80619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BF5CE6"/>
    <w:multiLevelType w:val="hybridMultilevel"/>
    <w:tmpl w:val="EF32D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8"/>
  </w:num>
  <w:num w:numId="5">
    <w:abstractNumId w:val="19"/>
  </w:num>
  <w:num w:numId="6">
    <w:abstractNumId w:val="14"/>
  </w:num>
  <w:num w:numId="7">
    <w:abstractNumId w:val="0"/>
  </w:num>
  <w:num w:numId="8">
    <w:abstractNumId w:val="6"/>
  </w:num>
  <w:num w:numId="9">
    <w:abstractNumId w:val="9"/>
  </w:num>
  <w:num w:numId="10">
    <w:abstractNumId w:val="17"/>
  </w:num>
  <w:num w:numId="11">
    <w:abstractNumId w:val="23"/>
  </w:num>
  <w:num w:numId="12">
    <w:abstractNumId w:val="21"/>
  </w:num>
  <w:num w:numId="13">
    <w:abstractNumId w:val="10"/>
  </w:num>
  <w:num w:numId="14">
    <w:abstractNumId w:val="25"/>
  </w:num>
  <w:num w:numId="15">
    <w:abstractNumId w:val="24"/>
  </w:num>
  <w:num w:numId="16">
    <w:abstractNumId w:val="26"/>
  </w:num>
  <w:num w:numId="17">
    <w:abstractNumId w:val="2"/>
  </w:num>
  <w:num w:numId="18">
    <w:abstractNumId w:val="27"/>
  </w:num>
  <w:num w:numId="19">
    <w:abstractNumId w:val="12"/>
  </w:num>
  <w:num w:numId="20">
    <w:abstractNumId w:val="16"/>
  </w:num>
  <w:num w:numId="21">
    <w:abstractNumId w:val="16"/>
  </w:num>
  <w:num w:numId="22">
    <w:abstractNumId w:val="16"/>
  </w:num>
  <w:num w:numId="23">
    <w:abstractNumId w:val="16"/>
  </w:num>
  <w:num w:numId="24">
    <w:abstractNumId w:val="18"/>
  </w:num>
  <w:num w:numId="25">
    <w:abstractNumId w:val="3"/>
  </w:num>
  <w:num w:numId="26">
    <w:abstractNumId w:val="11"/>
  </w:num>
  <w:num w:numId="27">
    <w:abstractNumId w:val="13"/>
  </w:num>
  <w:num w:numId="28">
    <w:abstractNumId w:val="1"/>
  </w:num>
  <w:num w:numId="29">
    <w:abstractNumId w:val="7"/>
  </w:num>
  <w:num w:numId="30">
    <w:abstractNumId w:val="22"/>
  </w:num>
  <w:num w:numId="31">
    <w:abstractNumId w:val="15"/>
  </w:num>
  <w:num w:numId="3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EB"/>
    <w:rsid w:val="0000225E"/>
    <w:rsid w:val="00003FCF"/>
    <w:rsid w:val="00004CDA"/>
    <w:rsid w:val="00007AC5"/>
    <w:rsid w:val="0001098A"/>
    <w:rsid w:val="0001113B"/>
    <w:rsid w:val="00012F25"/>
    <w:rsid w:val="00015672"/>
    <w:rsid w:val="00015E82"/>
    <w:rsid w:val="00020E05"/>
    <w:rsid w:val="0002466F"/>
    <w:rsid w:val="000250A1"/>
    <w:rsid w:val="00026CF6"/>
    <w:rsid w:val="00027712"/>
    <w:rsid w:val="000278D1"/>
    <w:rsid w:val="00027E11"/>
    <w:rsid w:val="000332FC"/>
    <w:rsid w:val="00033F08"/>
    <w:rsid w:val="00037DC0"/>
    <w:rsid w:val="000407AF"/>
    <w:rsid w:val="000453CF"/>
    <w:rsid w:val="0004631F"/>
    <w:rsid w:val="00047087"/>
    <w:rsid w:val="00050680"/>
    <w:rsid w:val="00054AE2"/>
    <w:rsid w:val="000572BC"/>
    <w:rsid w:val="00057464"/>
    <w:rsid w:val="00062321"/>
    <w:rsid w:val="00062919"/>
    <w:rsid w:val="00063C4C"/>
    <w:rsid w:val="0006758F"/>
    <w:rsid w:val="0007030F"/>
    <w:rsid w:val="00071248"/>
    <w:rsid w:val="000726C6"/>
    <w:rsid w:val="000737EF"/>
    <w:rsid w:val="0007539F"/>
    <w:rsid w:val="000763FF"/>
    <w:rsid w:val="00076A63"/>
    <w:rsid w:val="00076C2E"/>
    <w:rsid w:val="00080A6D"/>
    <w:rsid w:val="000819E9"/>
    <w:rsid w:val="00082629"/>
    <w:rsid w:val="000835B5"/>
    <w:rsid w:val="00084542"/>
    <w:rsid w:val="0008593F"/>
    <w:rsid w:val="00086739"/>
    <w:rsid w:val="00086E5D"/>
    <w:rsid w:val="0009054C"/>
    <w:rsid w:val="00091096"/>
    <w:rsid w:val="00092980"/>
    <w:rsid w:val="000939FA"/>
    <w:rsid w:val="00095C3A"/>
    <w:rsid w:val="00095D87"/>
    <w:rsid w:val="000966B2"/>
    <w:rsid w:val="000979D8"/>
    <w:rsid w:val="000A0563"/>
    <w:rsid w:val="000A2402"/>
    <w:rsid w:val="000A381E"/>
    <w:rsid w:val="000A5334"/>
    <w:rsid w:val="000A69E2"/>
    <w:rsid w:val="000B2718"/>
    <w:rsid w:val="000B2BF0"/>
    <w:rsid w:val="000B2C0F"/>
    <w:rsid w:val="000B2E82"/>
    <w:rsid w:val="000B39AB"/>
    <w:rsid w:val="000B3B38"/>
    <w:rsid w:val="000C2B2C"/>
    <w:rsid w:val="000C3450"/>
    <w:rsid w:val="000C5BC0"/>
    <w:rsid w:val="000C764B"/>
    <w:rsid w:val="000D22DC"/>
    <w:rsid w:val="000D57F2"/>
    <w:rsid w:val="000D68AB"/>
    <w:rsid w:val="000D79A9"/>
    <w:rsid w:val="000E0780"/>
    <w:rsid w:val="000E08CB"/>
    <w:rsid w:val="000E396C"/>
    <w:rsid w:val="000E3D7F"/>
    <w:rsid w:val="000E4146"/>
    <w:rsid w:val="000E58B0"/>
    <w:rsid w:val="000E7BBE"/>
    <w:rsid w:val="000F1496"/>
    <w:rsid w:val="000F1C2D"/>
    <w:rsid w:val="000F3F80"/>
    <w:rsid w:val="000F5CEC"/>
    <w:rsid w:val="000F5E1B"/>
    <w:rsid w:val="000F6B23"/>
    <w:rsid w:val="00101B5F"/>
    <w:rsid w:val="00101F03"/>
    <w:rsid w:val="00102515"/>
    <w:rsid w:val="001069E0"/>
    <w:rsid w:val="00106EDD"/>
    <w:rsid w:val="0010730D"/>
    <w:rsid w:val="00110309"/>
    <w:rsid w:val="001105C3"/>
    <w:rsid w:val="00116CF1"/>
    <w:rsid w:val="00117A71"/>
    <w:rsid w:val="00120C05"/>
    <w:rsid w:val="00121FA3"/>
    <w:rsid w:val="00121FBA"/>
    <w:rsid w:val="00126A50"/>
    <w:rsid w:val="001322FF"/>
    <w:rsid w:val="00132AEA"/>
    <w:rsid w:val="00132C64"/>
    <w:rsid w:val="0013497E"/>
    <w:rsid w:val="00140432"/>
    <w:rsid w:val="00140633"/>
    <w:rsid w:val="00142513"/>
    <w:rsid w:val="00143D57"/>
    <w:rsid w:val="001446E2"/>
    <w:rsid w:val="00144956"/>
    <w:rsid w:val="00151D6F"/>
    <w:rsid w:val="0015233D"/>
    <w:rsid w:val="00153495"/>
    <w:rsid w:val="001551F6"/>
    <w:rsid w:val="001560FC"/>
    <w:rsid w:val="0015652A"/>
    <w:rsid w:val="00156F94"/>
    <w:rsid w:val="001612D4"/>
    <w:rsid w:val="001639A0"/>
    <w:rsid w:val="00164D20"/>
    <w:rsid w:val="00165174"/>
    <w:rsid w:val="00165930"/>
    <w:rsid w:val="001666AE"/>
    <w:rsid w:val="0016763A"/>
    <w:rsid w:val="00170102"/>
    <w:rsid w:val="00170178"/>
    <w:rsid w:val="001721A8"/>
    <w:rsid w:val="00172A40"/>
    <w:rsid w:val="00173009"/>
    <w:rsid w:val="00173892"/>
    <w:rsid w:val="001763C5"/>
    <w:rsid w:val="00183D18"/>
    <w:rsid w:val="00187599"/>
    <w:rsid w:val="001878EE"/>
    <w:rsid w:val="001903AD"/>
    <w:rsid w:val="00190C7C"/>
    <w:rsid w:val="00190D6A"/>
    <w:rsid w:val="001948A3"/>
    <w:rsid w:val="0019636A"/>
    <w:rsid w:val="001A0000"/>
    <w:rsid w:val="001A0EE1"/>
    <w:rsid w:val="001A1254"/>
    <w:rsid w:val="001A6925"/>
    <w:rsid w:val="001A7551"/>
    <w:rsid w:val="001A7960"/>
    <w:rsid w:val="001B0742"/>
    <w:rsid w:val="001B5BAE"/>
    <w:rsid w:val="001B6352"/>
    <w:rsid w:val="001C047C"/>
    <w:rsid w:val="001C1388"/>
    <w:rsid w:val="001C2286"/>
    <w:rsid w:val="001C4E2A"/>
    <w:rsid w:val="001C79FF"/>
    <w:rsid w:val="001C7B96"/>
    <w:rsid w:val="001D1357"/>
    <w:rsid w:val="001D230F"/>
    <w:rsid w:val="001D4797"/>
    <w:rsid w:val="001D4D5E"/>
    <w:rsid w:val="001D5254"/>
    <w:rsid w:val="001D5293"/>
    <w:rsid w:val="001D5A6C"/>
    <w:rsid w:val="001D5B6D"/>
    <w:rsid w:val="001D7147"/>
    <w:rsid w:val="001D7666"/>
    <w:rsid w:val="001D7AA5"/>
    <w:rsid w:val="001E2C8B"/>
    <w:rsid w:val="001E36A3"/>
    <w:rsid w:val="001E5EDA"/>
    <w:rsid w:val="001E632C"/>
    <w:rsid w:val="001F03CE"/>
    <w:rsid w:val="001F1A27"/>
    <w:rsid w:val="001F45C8"/>
    <w:rsid w:val="001F5472"/>
    <w:rsid w:val="001F6767"/>
    <w:rsid w:val="001F70D4"/>
    <w:rsid w:val="00200E3A"/>
    <w:rsid w:val="00201007"/>
    <w:rsid w:val="00202204"/>
    <w:rsid w:val="00203B4E"/>
    <w:rsid w:val="00205850"/>
    <w:rsid w:val="00206CC8"/>
    <w:rsid w:val="002077A8"/>
    <w:rsid w:val="00210CB1"/>
    <w:rsid w:val="002116A2"/>
    <w:rsid w:val="00211750"/>
    <w:rsid w:val="00215741"/>
    <w:rsid w:val="00216DCF"/>
    <w:rsid w:val="00220631"/>
    <w:rsid w:val="00221374"/>
    <w:rsid w:val="0022144B"/>
    <w:rsid w:val="00223548"/>
    <w:rsid w:val="00223E10"/>
    <w:rsid w:val="00224878"/>
    <w:rsid w:val="00224F8D"/>
    <w:rsid w:val="00225A85"/>
    <w:rsid w:val="00225C37"/>
    <w:rsid w:val="002321B0"/>
    <w:rsid w:val="00234ADC"/>
    <w:rsid w:val="00241F31"/>
    <w:rsid w:val="00242098"/>
    <w:rsid w:val="002465D4"/>
    <w:rsid w:val="00246C3A"/>
    <w:rsid w:val="00246DA1"/>
    <w:rsid w:val="00251493"/>
    <w:rsid w:val="00253945"/>
    <w:rsid w:val="00253F40"/>
    <w:rsid w:val="002556C1"/>
    <w:rsid w:val="00256EC0"/>
    <w:rsid w:val="002600C4"/>
    <w:rsid w:val="0026020B"/>
    <w:rsid w:val="002627C9"/>
    <w:rsid w:val="002635E7"/>
    <w:rsid w:val="0026374E"/>
    <w:rsid w:val="002655E9"/>
    <w:rsid w:val="002679A1"/>
    <w:rsid w:val="00267BC3"/>
    <w:rsid w:val="00271ECB"/>
    <w:rsid w:val="00274A61"/>
    <w:rsid w:val="00274C10"/>
    <w:rsid w:val="0027590C"/>
    <w:rsid w:val="00275D6F"/>
    <w:rsid w:val="00277262"/>
    <w:rsid w:val="00280440"/>
    <w:rsid w:val="002853C3"/>
    <w:rsid w:val="00285D75"/>
    <w:rsid w:val="00286343"/>
    <w:rsid w:val="0029469B"/>
    <w:rsid w:val="00294DCC"/>
    <w:rsid w:val="00297B90"/>
    <w:rsid w:val="00297F98"/>
    <w:rsid w:val="002A25CD"/>
    <w:rsid w:val="002A4246"/>
    <w:rsid w:val="002A4277"/>
    <w:rsid w:val="002A461D"/>
    <w:rsid w:val="002B0A96"/>
    <w:rsid w:val="002B294A"/>
    <w:rsid w:val="002B354B"/>
    <w:rsid w:val="002B36D4"/>
    <w:rsid w:val="002B4652"/>
    <w:rsid w:val="002B5D71"/>
    <w:rsid w:val="002C1FEE"/>
    <w:rsid w:val="002C2013"/>
    <w:rsid w:val="002C2A17"/>
    <w:rsid w:val="002C53DB"/>
    <w:rsid w:val="002C627D"/>
    <w:rsid w:val="002D25C8"/>
    <w:rsid w:val="002D6F69"/>
    <w:rsid w:val="002E0394"/>
    <w:rsid w:val="002E08C2"/>
    <w:rsid w:val="002E25F5"/>
    <w:rsid w:val="002E3233"/>
    <w:rsid w:val="002E4867"/>
    <w:rsid w:val="002E557E"/>
    <w:rsid w:val="002E577F"/>
    <w:rsid w:val="002E78AF"/>
    <w:rsid w:val="002F21EE"/>
    <w:rsid w:val="002F3846"/>
    <w:rsid w:val="002F5BAE"/>
    <w:rsid w:val="002F5C50"/>
    <w:rsid w:val="002F629D"/>
    <w:rsid w:val="003006A3"/>
    <w:rsid w:val="00300DA2"/>
    <w:rsid w:val="003012F5"/>
    <w:rsid w:val="00302154"/>
    <w:rsid w:val="00310BF7"/>
    <w:rsid w:val="00311840"/>
    <w:rsid w:val="0031342C"/>
    <w:rsid w:val="00313CCA"/>
    <w:rsid w:val="003143D9"/>
    <w:rsid w:val="00315B64"/>
    <w:rsid w:val="003170E0"/>
    <w:rsid w:val="003173A6"/>
    <w:rsid w:val="00320ED4"/>
    <w:rsid w:val="00321BD2"/>
    <w:rsid w:val="00322353"/>
    <w:rsid w:val="00324D86"/>
    <w:rsid w:val="003308C9"/>
    <w:rsid w:val="00332582"/>
    <w:rsid w:val="00332F9D"/>
    <w:rsid w:val="00335CC3"/>
    <w:rsid w:val="003361E0"/>
    <w:rsid w:val="003364CD"/>
    <w:rsid w:val="00336FDD"/>
    <w:rsid w:val="0033716A"/>
    <w:rsid w:val="00340F94"/>
    <w:rsid w:val="003419DD"/>
    <w:rsid w:val="0034300B"/>
    <w:rsid w:val="00346C6A"/>
    <w:rsid w:val="00347C00"/>
    <w:rsid w:val="00351658"/>
    <w:rsid w:val="00354B4D"/>
    <w:rsid w:val="00355A13"/>
    <w:rsid w:val="00356081"/>
    <w:rsid w:val="00356B11"/>
    <w:rsid w:val="00360B7F"/>
    <w:rsid w:val="00361118"/>
    <w:rsid w:val="00362586"/>
    <w:rsid w:val="00364DE4"/>
    <w:rsid w:val="00370318"/>
    <w:rsid w:val="00371AFD"/>
    <w:rsid w:val="00372A0B"/>
    <w:rsid w:val="00374397"/>
    <w:rsid w:val="00377858"/>
    <w:rsid w:val="003801B2"/>
    <w:rsid w:val="00381C68"/>
    <w:rsid w:val="003829BD"/>
    <w:rsid w:val="00382F24"/>
    <w:rsid w:val="00383AF8"/>
    <w:rsid w:val="003854AF"/>
    <w:rsid w:val="0038641F"/>
    <w:rsid w:val="003865D7"/>
    <w:rsid w:val="0039022E"/>
    <w:rsid w:val="003908AF"/>
    <w:rsid w:val="00391DB9"/>
    <w:rsid w:val="00393F26"/>
    <w:rsid w:val="00394986"/>
    <w:rsid w:val="00397CAB"/>
    <w:rsid w:val="00397E80"/>
    <w:rsid w:val="003A2151"/>
    <w:rsid w:val="003A447B"/>
    <w:rsid w:val="003A4CB1"/>
    <w:rsid w:val="003A5086"/>
    <w:rsid w:val="003A7DFB"/>
    <w:rsid w:val="003B24E2"/>
    <w:rsid w:val="003B28EA"/>
    <w:rsid w:val="003B4BF6"/>
    <w:rsid w:val="003B5410"/>
    <w:rsid w:val="003B554B"/>
    <w:rsid w:val="003B7E30"/>
    <w:rsid w:val="003C31C4"/>
    <w:rsid w:val="003C383B"/>
    <w:rsid w:val="003C3A29"/>
    <w:rsid w:val="003C40D2"/>
    <w:rsid w:val="003D04FC"/>
    <w:rsid w:val="003D09B9"/>
    <w:rsid w:val="003D1A90"/>
    <w:rsid w:val="003D37FB"/>
    <w:rsid w:val="003D394A"/>
    <w:rsid w:val="003D587C"/>
    <w:rsid w:val="003D59BE"/>
    <w:rsid w:val="003E25DD"/>
    <w:rsid w:val="003E5195"/>
    <w:rsid w:val="003E5BC5"/>
    <w:rsid w:val="003E5CDA"/>
    <w:rsid w:val="003E6AB1"/>
    <w:rsid w:val="003F24F6"/>
    <w:rsid w:val="003F3187"/>
    <w:rsid w:val="003F49D7"/>
    <w:rsid w:val="003F6294"/>
    <w:rsid w:val="00402459"/>
    <w:rsid w:val="00402D85"/>
    <w:rsid w:val="00404FC8"/>
    <w:rsid w:val="00406E2F"/>
    <w:rsid w:val="004109F0"/>
    <w:rsid w:val="0041207C"/>
    <w:rsid w:val="00412A19"/>
    <w:rsid w:val="00412BC4"/>
    <w:rsid w:val="00413A6C"/>
    <w:rsid w:val="004146CD"/>
    <w:rsid w:val="00416E71"/>
    <w:rsid w:val="0041773F"/>
    <w:rsid w:val="00417BE5"/>
    <w:rsid w:val="00421643"/>
    <w:rsid w:val="0042214C"/>
    <w:rsid w:val="00422B8D"/>
    <w:rsid w:val="004234A3"/>
    <w:rsid w:val="00424AA8"/>
    <w:rsid w:val="00426809"/>
    <w:rsid w:val="004300A8"/>
    <w:rsid w:val="004362AD"/>
    <w:rsid w:val="00441548"/>
    <w:rsid w:val="004439B7"/>
    <w:rsid w:val="00445076"/>
    <w:rsid w:val="00453F9B"/>
    <w:rsid w:val="0045727B"/>
    <w:rsid w:val="00461D57"/>
    <w:rsid w:val="00462EDB"/>
    <w:rsid w:val="004670A1"/>
    <w:rsid w:val="00473064"/>
    <w:rsid w:val="0047371D"/>
    <w:rsid w:val="00476FD3"/>
    <w:rsid w:val="00477663"/>
    <w:rsid w:val="00481A3F"/>
    <w:rsid w:val="00483049"/>
    <w:rsid w:val="00484E11"/>
    <w:rsid w:val="00492F75"/>
    <w:rsid w:val="00494E4F"/>
    <w:rsid w:val="00496F87"/>
    <w:rsid w:val="004A1B8A"/>
    <w:rsid w:val="004A322F"/>
    <w:rsid w:val="004A36FB"/>
    <w:rsid w:val="004A40D9"/>
    <w:rsid w:val="004A6A31"/>
    <w:rsid w:val="004B35BC"/>
    <w:rsid w:val="004B4D3B"/>
    <w:rsid w:val="004C0DD7"/>
    <w:rsid w:val="004C0F13"/>
    <w:rsid w:val="004C40EE"/>
    <w:rsid w:val="004C58DD"/>
    <w:rsid w:val="004D23DF"/>
    <w:rsid w:val="004D3729"/>
    <w:rsid w:val="004D3A95"/>
    <w:rsid w:val="004D4F55"/>
    <w:rsid w:val="004D5068"/>
    <w:rsid w:val="004D6E6F"/>
    <w:rsid w:val="004D79B1"/>
    <w:rsid w:val="004E40F1"/>
    <w:rsid w:val="004E453D"/>
    <w:rsid w:val="004E461D"/>
    <w:rsid w:val="004E4DC7"/>
    <w:rsid w:val="004E55CB"/>
    <w:rsid w:val="004F103F"/>
    <w:rsid w:val="004F1AD1"/>
    <w:rsid w:val="004F3154"/>
    <w:rsid w:val="004F715B"/>
    <w:rsid w:val="005021C8"/>
    <w:rsid w:val="0051109B"/>
    <w:rsid w:val="005169FF"/>
    <w:rsid w:val="005173E2"/>
    <w:rsid w:val="0052076C"/>
    <w:rsid w:val="0052091D"/>
    <w:rsid w:val="00525002"/>
    <w:rsid w:val="00525F5B"/>
    <w:rsid w:val="00526691"/>
    <w:rsid w:val="005309B4"/>
    <w:rsid w:val="00532F6B"/>
    <w:rsid w:val="0053710E"/>
    <w:rsid w:val="0054342F"/>
    <w:rsid w:val="00546BE0"/>
    <w:rsid w:val="00550944"/>
    <w:rsid w:val="00550B84"/>
    <w:rsid w:val="00551CFE"/>
    <w:rsid w:val="005531B5"/>
    <w:rsid w:val="005540DA"/>
    <w:rsid w:val="005542B8"/>
    <w:rsid w:val="00555D41"/>
    <w:rsid w:val="00555EC2"/>
    <w:rsid w:val="0055670E"/>
    <w:rsid w:val="005578C8"/>
    <w:rsid w:val="00566AC8"/>
    <w:rsid w:val="00570ACD"/>
    <w:rsid w:val="00570EBF"/>
    <w:rsid w:val="00571510"/>
    <w:rsid w:val="00572F7B"/>
    <w:rsid w:val="005733F6"/>
    <w:rsid w:val="00573F50"/>
    <w:rsid w:val="005769EC"/>
    <w:rsid w:val="00576AAC"/>
    <w:rsid w:val="00576F91"/>
    <w:rsid w:val="00580992"/>
    <w:rsid w:val="005816DF"/>
    <w:rsid w:val="00582C8D"/>
    <w:rsid w:val="005831DE"/>
    <w:rsid w:val="00584FC4"/>
    <w:rsid w:val="005862A2"/>
    <w:rsid w:val="00586F19"/>
    <w:rsid w:val="00591969"/>
    <w:rsid w:val="0059316C"/>
    <w:rsid w:val="00593257"/>
    <w:rsid w:val="00596DA9"/>
    <w:rsid w:val="00597ECF"/>
    <w:rsid w:val="005A0FCD"/>
    <w:rsid w:val="005A1244"/>
    <w:rsid w:val="005A12CD"/>
    <w:rsid w:val="005A2AFE"/>
    <w:rsid w:val="005A2B0C"/>
    <w:rsid w:val="005A2D4F"/>
    <w:rsid w:val="005A3377"/>
    <w:rsid w:val="005A3F46"/>
    <w:rsid w:val="005A6609"/>
    <w:rsid w:val="005A69BB"/>
    <w:rsid w:val="005B0692"/>
    <w:rsid w:val="005B3167"/>
    <w:rsid w:val="005B3675"/>
    <w:rsid w:val="005B379D"/>
    <w:rsid w:val="005B4F31"/>
    <w:rsid w:val="005B5C02"/>
    <w:rsid w:val="005B738C"/>
    <w:rsid w:val="005B761A"/>
    <w:rsid w:val="005C0EF0"/>
    <w:rsid w:val="005C2A59"/>
    <w:rsid w:val="005C3B47"/>
    <w:rsid w:val="005C3E02"/>
    <w:rsid w:val="005C4874"/>
    <w:rsid w:val="005C50CC"/>
    <w:rsid w:val="005C50D4"/>
    <w:rsid w:val="005C7DEB"/>
    <w:rsid w:val="005D014C"/>
    <w:rsid w:val="005D1052"/>
    <w:rsid w:val="005D128F"/>
    <w:rsid w:val="005D2692"/>
    <w:rsid w:val="005D320F"/>
    <w:rsid w:val="005D338F"/>
    <w:rsid w:val="005D79C3"/>
    <w:rsid w:val="005E26A8"/>
    <w:rsid w:val="005E350D"/>
    <w:rsid w:val="005E3A90"/>
    <w:rsid w:val="005E4E77"/>
    <w:rsid w:val="005E730D"/>
    <w:rsid w:val="005E7884"/>
    <w:rsid w:val="005F0311"/>
    <w:rsid w:val="005F25FE"/>
    <w:rsid w:val="005F2619"/>
    <w:rsid w:val="005F2AF7"/>
    <w:rsid w:val="005F37C8"/>
    <w:rsid w:val="005F4322"/>
    <w:rsid w:val="005F6156"/>
    <w:rsid w:val="00600864"/>
    <w:rsid w:val="00602212"/>
    <w:rsid w:val="006046EA"/>
    <w:rsid w:val="00605194"/>
    <w:rsid w:val="00610842"/>
    <w:rsid w:val="00610FA4"/>
    <w:rsid w:val="0061108F"/>
    <w:rsid w:val="006120AC"/>
    <w:rsid w:val="00615271"/>
    <w:rsid w:val="0061623D"/>
    <w:rsid w:val="006168EB"/>
    <w:rsid w:val="00622C0D"/>
    <w:rsid w:val="00624C83"/>
    <w:rsid w:val="00624F73"/>
    <w:rsid w:val="00626D6C"/>
    <w:rsid w:val="00631A8E"/>
    <w:rsid w:val="00634900"/>
    <w:rsid w:val="00635239"/>
    <w:rsid w:val="00636F09"/>
    <w:rsid w:val="006400AF"/>
    <w:rsid w:val="00641B1F"/>
    <w:rsid w:val="00642E5D"/>
    <w:rsid w:val="00644258"/>
    <w:rsid w:val="00645AF7"/>
    <w:rsid w:val="00650806"/>
    <w:rsid w:val="00652753"/>
    <w:rsid w:val="00654A28"/>
    <w:rsid w:val="00655439"/>
    <w:rsid w:val="0066170C"/>
    <w:rsid w:val="00662AB9"/>
    <w:rsid w:val="0066420B"/>
    <w:rsid w:val="00664973"/>
    <w:rsid w:val="006669E1"/>
    <w:rsid w:val="00666B1A"/>
    <w:rsid w:val="00666E4C"/>
    <w:rsid w:val="00672D0A"/>
    <w:rsid w:val="0067351B"/>
    <w:rsid w:val="0067582B"/>
    <w:rsid w:val="00676591"/>
    <w:rsid w:val="00676E2A"/>
    <w:rsid w:val="00681AE3"/>
    <w:rsid w:val="006827F6"/>
    <w:rsid w:val="00682F2D"/>
    <w:rsid w:val="0068626C"/>
    <w:rsid w:val="006869F1"/>
    <w:rsid w:val="00686F09"/>
    <w:rsid w:val="0068710C"/>
    <w:rsid w:val="0068769B"/>
    <w:rsid w:val="00690469"/>
    <w:rsid w:val="006906EE"/>
    <w:rsid w:val="0069114B"/>
    <w:rsid w:val="00691590"/>
    <w:rsid w:val="00691AFD"/>
    <w:rsid w:val="00692511"/>
    <w:rsid w:val="006965BC"/>
    <w:rsid w:val="006978C9"/>
    <w:rsid w:val="006A0106"/>
    <w:rsid w:val="006A0C97"/>
    <w:rsid w:val="006A31C5"/>
    <w:rsid w:val="006A3327"/>
    <w:rsid w:val="006A4294"/>
    <w:rsid w:val="006B068A"/>
    <w:rsid w:val="006B1217"/>
    <w:rsid w:val="006B4F0E"/>
    <w:rsid w:val="006B5B52"/>
    <w:rsid w:val="006B66BC"/>
    <w:rsid w:val="006B6CB8"/>
    <w:rsid w:val="006B6EC9"/>
    <w:rsid w:val="006B6F27"/>
    <w:rsid w:val="006C0004"/>
    <w:rsid w:val="006C159A"/>
    <w:rsid w:val="006C1B67"/>
    <w:rsid w:val="006C2854"/>
    <w:rsid w:val="006C4DD6"/>
    <w:rsid w:val="006C5539"/>
    <w:rsid w:val="006D4E3A"/>
    <w:rsid w:val="006D78D0"/>
    <w:rsid w:val="006E3747"/>
    <w:rsid w:val="006E3E53"/>
    <w:rsid w:val="006E6F2B"/>
    <w:rsid w:val="006F02CB"/>
    <w:rsid w:val="006F2320"/>
    <w:rsid w:val="006F27DF"/>
    <w:rsid w:val="006F437F"/>
    <w:rsid w:val="0070068F"/>
    <w:rsid w:val="00701AA8"/>
    <w:rsid w:val="00703073"/>
    <w:rsid w:val="007038B6"/>
    <w:rsid w:val="0070475B"/>
    <w:rsid w:val="00704E74"/>
    <w:rsid w:val="007068A1"/>
    <w:rsid w:val="00706C75"/>
    <w:rsid w:val="00707C05"/>
    <w:rsid w:val="007116D2"/>
    <w:rsid w:val="007140F3"/>
    <w:rsid w:val="0072257E"/>
    <w:rsid w:val="00722A6F"/>
    <w:rsid w:val="00723D4E"/>
    <w:rsid w:val="00724869"/>
    <w:rsid w:val="00725E6A"/>
    <w:rsid w:val="007277AC"/>
    <w:rsid w:val="00730B76"/>
    <w:rsid w:val="00735C0D"/>
    <w:rsid w:val="00736F5B"/>
    <w:rsid w:val="00737162"/>
    <w:rsid w:val="00737BDE"/>
    <w:rsid w:val="007413E9"/>
    <w:rsid w:val="00741D74"/>
    <w:rsid w:val="007420B7"/>
    <w:rsid w:val="007432F5"/>
    <w:rsid w:val="00743FF8"/>
    <w:rsid w:val="0074756D"/>
    <w:rsid w:val="00755416"/>
    <w:rsid w:val="00755694"/>
    <w:rsid w:val="00757852"/>
    <w:rsid w:val="007609E8"/>
    <w:rsid w:val="00761FCA"/>
    <w:rsid w:val="00762088"/>
    <w:rsid w:val="00764EA5"/>
    <w:rsid w:val="00767849"/>
    <w:rsid w:val="00767888"/>
    <w:rsid w:val="00773198"/>
    <w:rsid w:val="0077484D"/>
    <w:rsid w:val="00774A54"/>
    <w:rsid w:val="00780CC8"/>
    <w:rsid w:val="00780F06"/>
    <w:rsid w:val="00782F92"/>
    <w:rsid w:val="007834E0"/>
    <w:rsid w:val="00783542"/>
    <w:rsid w:val="00785694"/>
    <w:rsid w:val="00786132"/>
    <w:rsid w:val="00787106"/>
    <w:rsid w:val="00790B90"/>
    <w:rsid w:val="00791920"/>
    <w:rsid w:val="00792343"/>
    <w:rsid w:val="00792523"/>
    <w:rsid w:val="00793B54"/>
    <w:rsid w:val="00795048"/>
    <w:rsid w:val="00797E3A"/>
    <w:rsid w:val="00797FA4"/>
    <w:rsid w:val="007A0DCA"/>
    <w:rsid w:val="007A1E6B"/>
    <w:rsid w:val="007A5600"/>
    <w:rsid w:val="007A71B8"/>
    <w:rsid w:val="007A7995"/>
    <w:rsid w:val="007B0E1E"/>
    <w:rsid w:val="007B2D91"/>
    <w:rsid w:val="007B4A3B"/>
    <w:rsid w:val="007B5A19"/>
    <w:rsid w:val="007B5B22"/>
    <w:rsid w:val="007B5DDD"/>
    <w:rsid w:val="007B5E81"/>
    <w:rsid w:val="007B5F13"/>
    <w:rsid w:val="007B740E"/>
    <w:rsid w:val="007C1BC5"/>
    <w:rsid w:val="007C26FB"/>
    <w:rsid w:val="007C4DA7"/>
    <w:rsid w:val="007C5AEB"/>
    <w:rsid w:val="007D155D"/>
    <w:rsid w:val="007D245B"/>
    <w:rsid w:val="007D5FA4"/>
    <w:rsid w:val="007D659F"/>
    <w:rsid w:val="007D7B68"/>
    <w:rsid w:val="007E1B1B"/>
    <w:rsid w:val="007E34EB"/>
    <w:rsid w:val="007E4C7B"/>
    <w:rsid w:val="007F0D79"/>
    <w:rsid w:val="007F29E8"/>
    <w:rsid w:val="007F32AE"/>
    <w:rsid w:val="007F3C0E"/>
    <w:rsid w:val="007F408A"/>
    <w:rsid w:val="007F40F0"/>
    <w:rsid w:val="007F5A24"/>
    <w:rsid w:val="007F5CB7"/>
    <w:rsid w:val="00800262"/>
    <w:rsid w:val="00800E6A"/>
    <w:rsid w:val="0080270C"/>
    <w:rsid w:val="0080409B"/>
    <w:rsid w:val="0080588E"/>
    <w:rsid w:val="0081025F"/>
    <w:rsid w:val="008103D4"/>
    <w:rsid w:val="00811AE6"/>
    <w:rsid w:val="00812BD1"/>
    <w:rsid w:val="00813ECD"/>
    <w:rsid w:val="00817029"/>
    <w:rsid w:val="0081757B"/>
    <w:rsid w:val="008203F4"/>
    <w:rsid w:val="008220C7"/>
    <w:rsid w:val="0082284F"/>
    <w:rsid w:val="00823B80"/>
    <w:rsid w:val="008245C0"/>
    <w:rsid w:val="00824C32"/>
    <w:rsid w:val="00825751"/>
    <w:rsid w:val="00830189"/>
    <w:rsid w:val="00831403"/>
    <w:rsid w:val="00832E06"/>
    <w:rsid w:val="00835B9D"/>
    <w:rsid w:val="00835C0A"/>
    <w:rsid w:val="00837FD5"/>
    <w:rsid w:val="00840877"/>
    <w:rsid w:val="00841F3B"/>
    <w:rsid w:val="00842EE6"/>
    <w:rsid w:val="0084369E"/>
    <w:rsid w:val="00844C28"/>
    <w:rsid w:val="008455D9"/>
    <w:rsid w:val="00845D87"/>
    <w:rsid w:val="008467FE"/>
    <w:rsid w:val="00854D87"/>
    <w:rsid w:val="00855C09"/>
    <w:rsid w:val="008570FC"/>
    <w:rsid w:val="008571CD"/>
    <w:rsid w:val="008605E1"/>
    <w:rsid w:val="00861C4C"/>
    <w:rsid w:val="00867DEC"/>
    <w:rsid w:val="008703AC"/>
    <w:rsid w:val="0087123E"/>
    <w:rsid w:val="0087136C"/>
    <w:rsid w:val="008716A7"/>
    <w:rsid w:val="00872103"/>
    <w:rsid w:val="00872238"/>
    <w:rsid w:val="0087261F"/>
    <w:rsid w:val="008727BE"/>
    <w:rsid w:val="0087336B"/>
    <w:rsid w:val="008737AC"/>
    <w:rsid w:val="0087427E"/>
    <w:rsid w:val="008745D7"/>
    <w:rsid w:val="00876338"/>
    <w:rsid w:val="008763F0"/>
    <w:rsid w:val="00876D06"/>
    <w:rsid w:val="00880232"/>
    <w:rsid w:val="00881AFD"/>
    <w:rsid w:val="008841D4"/>
    <w:rsid w:val="008845E6"/>
    <w:rsid w:val="0089166D"/>
    <w:rsid w:val="00892E10"/>
    <w:rsid w:val="00896362"/>
    <w:rsid w:val="008967C6"/>
    <w:rsid w:val="0089695A"/>
    <w:rsid w:val="0089788F"/>
    <w:rsid w:val="008A00A3"/>
    <w:rsid w:val="008A3E5C"/>
    <w:rsid w:val="008A6ECE"/>
    <w:rsid w:val="008B0BE6"/>
    <w:rsid w:val="008B1BCC"/>
    <w:rsid w:val="008B279A"/>
    <w:rsid w:val="008B406F"/>
    <w:rsid w:val="008C086C"/>
    <w:rsid w:val="008C169B"/>
    <w:rsid w:val="008C3A46"/>
    <w:rsid w:val="008C470A"/>
    <w:rsid w:val="008C48E3"/>
    <w:rsid w:val="008C4E9B"/>
    <w:rsid w:val="008C55E2"/>
    <w:rsid w:val="008D25DA"/>
    <w:rsid w:val="008D3B98"/>
    <w:rsid w:val="008D41EB"/>
    <w:rsid w:val="008D4752"/>
    <w:rsid w:val="008D6BD2"/>
    <w:rsid w:val="008E0381"/>
    <w:rsid w:val="008E05E8"/>
    <w:rsid w:val="008E46F4"/>
    <w:rsid w:val="008E50B5"/>
    <w:rsid w:val="008E5852"/>
    <w:rsid w:val="008E734C"/>
    <w:rsid w:val="008E7F72"/>
    <w:rsid w:val="008F0FFE"/>
    <w:rsid w:val="008F5E6A"/>
    <w:rsid w:val="008F718E"/>
    <w:rsid w:val="008F7ADC"/>
    <w:rsid w:val="00904647"/>
    <w:rsid w:val="009047E4"/>
    <w:rsid w:val="00904B41"/>
    <w:rsid w:val="00904DC3"/>
    <w:rsid w:val="00907BDF"/>
    <w:rsid w:val="00911780"/>
    <w:rsid w:val="0091363A"/>
    <w:rsid w:val="009211BF"/>
    <w:rsid w:val="00921321"/>
    <w:rsid w:val="00921FCA"/>
    <w:rsid w:val="00921FE3"/>
    <w:rsid w:val="00922D34"/>
    <w:rsid w:val="00923E95"/>
    <w:rsid w:val="00923E9B"/>
    <w:rsid w:val="00924000"/>
    <w:rsid w:val="00930E4C"/>
    <w:rsid w:val="0093344A"/>
    <w:rsid w:val="0093443B"/>
    <w:rsid w:val="0093741F"/>
    <w:rsid w:val="0094060D"/>
    <w:rsid w:val="00940E28"/>
    <w:rsid w:val="00943A13"/>
    <w:rsid w:val="009444C7"/>
    <w:rsid w:val="00944C61"/>
    <w:rsid w:val="00946F61"/>
    <w:rsid w:val="00947480"/>
    <w:rsid w:val="00947D2A"/>
    <w:rsid w:val="0095138B"/>
    <w:rsid w:val="00952563"/>
    <w:rsid w:val="00954B3F"/>
    <w:rsid w:val="009562C0"/>
    <w:rsid w:val="009627D5"/>
    <w:rsid w:val="00962B0D"/>
    <w:rsid w:val="009647DF"/>
    <w:rsid w:val="00965CB0"/>
    <w:rsid w:val="00970FC0"/>
    <w:rsid w:val="009746FF"/>
    <w:rsid w:val="00974E17"/>
    <w:rsid w:val="0098005C"/>
    <w:rsid w:val="0098038D"/>
    <w:rsid w:val="00980606"/>
    <w:rsid w:val="00983853"/>
    <w:rsid w:val="00984359"/>
    <w:rsid w:val="00985A22"/>
    <w:rsid w:val="00985D6E"/>
    <w:rsid w:val="00986241"/>
    <w:rsid w:val="00986508"/>
    <w:rsid w:val="00986FE0"/>
    <w:rsid w:val="00991463"/>
    <w:rsid w:val="009922DB"/>
    <w:rsid w:val="0099313E"/>
    <w:rsid w:val="009937F7"/>
    <w:rsid w:val="00993AF1"/>
    <w:rsid w:val="00995DC6"/>
    <w:rsid w:val="00997F53"/>
    <w:rsid w:val="009A0AF0"/>
    <w:rsid w:val="009A0CE2"/>
    <w:rsid w:val="009A0EE3"/>
    <w:rsid w:val="009A1A8F"/>
    <w:rsid w:val="009A239E"/>
    <w:rsid w:val="009A40A6"/>
    <w:rsid w:val="009A557D"/>
    <w:rsid w:val="009A6429"/>
    <w:rsid w:val="009A6C4A"/>
    <w:rsid w:val="009A6C7F"/>
    <w:rsid w:val="009B1118"/>
    <w:rsid w:val="009B213F"/>
    <w:rsid w:val="009B4777"/>
    <w:rsid w:val="009B4CBD"/>
    <w:rsid w:val="009B7792"/>
    <w:rsid w:val="009B784C"/>
    <w:rsid w:val="009B7878"/>
    <w:rsid w:val="009B7C41"/>
    <w:rsid w:val="009C0BCB"/>
    <w:rsid w:val="009C69F1"/>
    <w:rsid w:val="009C7C2C"/>
    <w:rsid w:val="009D0E82"/>
    <w:rsid w:val="009D28E1"/>
    <w:rsid w:val="009D356B"/>
    <w:rsid w:val="009D3615"/>
    <w:rsid w:val="009D3816"/>
    <w:rsid w:val="009D4211"/>
    <w:rsid w:val="009D5E9F"/>
    <w:rsid w:val="009E1158"/>
    <w:rsid w:val="009E20AE"/>
    <w:rsid w:val="009E22BF"/>
    <w:rsid w:val="009E39E9"/>
    <w:rsid w:val="009E3ED5"/>
    <w:rsid w:val="009E52D6"/>
    <w:rsid w:val="009F03DD"/>
    <w:rsid w:val="009F0605"/>
    <w:rsid w:val="009F236C"/>
    <w:rsid w:val="009F3FBA"/>
    <w:rsid w:val="009F4195"/>
    <w:rsid w:val="009F6623"/>
    <w:rsid w:val="009F71FE"/>
    <w:rsid w:val="009F78AB"/>
    <w:rsid w:val="00A01ADF"/>
    <w:rsid w:val="00A02A96"/>
    <w:rsid w:val="00A02AE4"/>
    <w:rsid w:val="00A03237"/>
    <w:rsid w:val="00A03385"/>
    <w:rsid w:val="00A034D8"/>
    <w:rsid w:val="00A04E6A"/>
    <w:rsid w:val="00A06AED"/>
    <w:rsid w:val="00A07E32"/>
    <w:rsid w:val="00A07FDC"/>
    <w:rsid w:val="00A1023E"/>
    <w:rsid w:val="00A109A8"/>
    <w:rsid w:val="00A11269"/>
    <w:rsid w:val="00A1313C"/>
    <w:rsid w:val="00A13F09"/>
    <w:rsid w:val="00A175F6"/>
    <w:rsid w:val="00A17604"/>
    <w:rsid w:val="00A17E8F"/>
    <w:rsid w:val="00A21C6F"/>
    <w:rsid w:val="00A30614"/>
    <w:rsid w:val="00A30933"/>
    <w:rsid w:val="00A3110B"/>
    <w:rsid w:val="00A31FD1"/>
    <w:rsid w:val="00A326C0"/>
    <w:rsid w:val="00A3350F"/>
    <w:rsid w:val="00A34C86"/>
    <w:rsid w:val="00A353FD"/>
    <w:rsid w:val="00A36500"/>
    <w:rsid w:val="00A369D2"/>
    <w:rsid w:val="00A36F00"/>
    <w:rsid w:val="00A37E5A"/>
    <w:rsid w:val="00A40252"/>
    <w:rsid w:val="00A4181B"/>
    <w:rsid w:val="00A440B0"/>
    <w:rsid w:val="00A45A18"/>
    <w:rsid w:val="00A46F8B"/>
    <w:rsid w:val="00A549AF"/>
    <w:rsid w:val="00A568E7"/>
    <w:rsid w:val="00A56EB0"/>
    <w:rsid w:val="00A57FCE"/>
    <w:rsid w:val="00A64121"/>
    <w:rsid w:val="00A6595D"/>
    <w:rsid w:val="00A6612D"/>
    <w:rsid w:val="00A70796"/>
    <w:rsid w:val="00A737E8"/>
    <w:rsid w:val="00A74592"/>
    <w:rsid w:val="00A74A74"/>
    <w:rsid w:val="00A75071"/>
    <w:rsid w:val="00A75F93"/>
    <w:rsid w:val="00A77970"/>
    <w:rsid w:val="00A779DF"/>
    <w:rsid w:val="00A822E7"/>
    <w:rsid w:val="00A843B2"/>
    <w:rsid w:val="00A84651"/>
    <w:rsid w:val="00A858AB"/>
    <w:rsid w:val="00A85CCB"/>
    <w:rsid w:val="00A85DBA"/>
    <w:rsid w:val="00A87084"/>
    <w:rsid w:val="00A91F25"/>
    <w:rsid w:val="00A92932"/>
    <w:rsid w:val="00A933F9"/>
    <w:rsid w:val="00A93C9D"/>
    <w:rsid w:val="00A93EAC"/>
    <w:rsid w:val="00A9695F"/>
    <w:rsid w:val="00A96FB0"/>
    <w:rsid w:val="00A9767A"/>
    <w:rsid w:val="00AA015A"/>
    <w:rsid w:val="00AA0C26"/>
    <w:rsid w:val="00AA151B"/>
    <w:rsid w:val="00AA2639"/>
    <w:rsid w:val="00AA4397"/>
    <w:rsid w:val="00AA6F6D"/>
    <w:rsid w:val="00AB0D37"/>
    <w:rsid w:val="00AB1709"/>
    <w:rsid w:val="00AB17D5"/>
    <w:rsid w:val="00AB3DA9"/>
    <w:rsid w:val="00AB4B4E"/>
    <w:rsid w:val="00AB4BB3"/>
    <w:rsid w:val="00AB54D5"/>
    <w:rsid w:val="00AB5672"/>
    <w:rsid w:val="00AB5AA7"/>
    <w:rsid w:val="00AB6A78"/>
    <w:rsid w:val="00AC4E2F"/>
    <w:rsid w:val="00AC55F5"/>
    <w:rsid w:val="00AC59D8"/>
    <w:rsid w:val="00AD00AD"/>
    <w:rsid w:val="00AD02E5"/>
    <w:rsid w:val="00AD2005"/>
    <w:rsid w:val="00AD3DFA"/>
    <w:rsid w:val="00AD542C"/>
    <w:rsid w:val="00AE190C"/>
    <w:rsid w:val="00AE21F0"/>
    <w:rsid w:val="00AE3E7F"/>
    <w:rsid w:val="00AE58C9"/>
    <w:rsid w:val="00AF01E4"/>
    <w:rsid w:val="00AF2A1E"/>
    <w:rsid w:val="00AF367A"/>
    <w:rsid w:val="00AF3FC1"/>
    <w:rsid w:val="00AF5AA1"/>
    <w:rsid w:val="00AF792B"/>
    <w:rsid w:val="00AF79E4"/>
    <w:rsid w:val="00AF7CD7"/>
    <w:rsid w:val="00B00548"/>
    <w:rsid w:val="00B00911"/>
    <w:rsid w:val="00B01AB2"/>
    <w:rsid w:val="00B02C4A"/>
    <w:rsid w:val="00B03EF4"/>
    <w:rsid w:val="00B0497E"/>
    <w:rsid w:val="00B04DB7"/>
    <w:rsid w:val="00B0739B"/>
    <w:rsid w:val="00B102CB"/>
    <w:rsid w:val="00B11861"/>
    <w:rsid w:val="00B1283E"/>
    <w:rsid w:val="00B135C3"/>
    <w:rsid w:val="00B15EC5"/>
    <w:rsid w:val="00B16A55"/>
    <w:rsid w:val="00B1749E"/>
    <w:rsid w:val="00B216E4"/>
    <w:rsid w:val="00B23984"/>
    <w:rsid w:val="00B24846"/>
    <w:rsid w:val="00B268C9"/>
    <w:rsid w:val="00B2736C"/>
    <w:rsid w:val="00B326EC"/>
    <w:rsid w:val="00B351C3"/>
    <w:rsid w:val="00B352F5"/>
    <w:rsid w:val="00B35917"/>
    <w:rsid w:val="00B35DF0"/>
    <w:rsid w:val="00B4177D"/>
    <w:rsid w:val="00B43819"/>
    <w:rsid w:val="00B44042"/>
    <w:rsid w:val="00B4568B"/>
    <w:rsid w:val="00B514CF"/>
    <w:rsid w:val="00B524E5"/>
    <w:rsid w:val="00B52E86"/>
    <w:rsid w:val="00B56185"/>
    <w:rsid w:val="00B56E07"/>
    <w:rsid w:val="00B577D3"/>
    <w:rsid w:val="00B57E02"/>
    <w:rsid w:val="00B601C0"/>
    <w:rsid w:val="00B6222C"/>
    <w:rsid w:val="00B62A81"/>
    <w:rsid w:val="00B64AE0"/>
    <w:rsid w:val="00B65E7F"/>
    <w:rsid w:val="00B65FE0"/>
    <w:rsid w:val="00B73FC2"/>
    <w:rsid w:val="00B755DF"/>
    <w:rsid w:val="00B75A8D"/>
    <w:rsid w:val="00B7690E"/>
    <w:rsid w:val="00B77E52"/>
    <w:rsid w:val="00B81DDC"/>
    <w:rsid w:val="00B83A16"/>
    <w:rsid w:val="00B845D4"/>
    <w:rsid w:val="00B85D7A"/>
    <w:rsid w:val="00B901E0"/>
    <w:rsid w:val="00B90561"/>
    <w:rsid w:val="00B94425"/>
    <w:rsid w:val="00B94AEB"/>
    <w:rsid w:val="00B97EF3"/>
    <w:rsid w:val="00B97FF5"/>
    <w:rsid w:val="00BA148F"/>
    <w:rsid w:val="00BA2C58"/>
    <w:rsid w:val="00BA476D"/>
    <w:rsid w:val="00BA7074"/>
    <w:rsid w:val="00BA735C"/>
    <w:rsid w:val="00BB0B09"/>
    <w:rsid w:val="00BB4906"/>
    <w:rsid w:val="00BB4AB3"/>
    <w:rsid w:val="00BB4E5A"/>
    <w:rsid w:val="00BB5097"/>
    <w:rsid w:val="00BB5EF1"/>
    <w:rsid w:val="00BB61A0"/>
    <w:rsid w:val="00BB6968"/>
    <w:rsid w:val="00BC0926"/>
    <w:rsid w:val="00BC1E30"/>
    <w:rsid w:val="00BC4D5D"/>
    <w:rsid w:val="00BC63B8"/>
    <w:rsid w:val="00BC7F41"/>
    <w:rsid w:val="00BD08B7"/>
    <w:rsid w:val="00BD3B91"/>
    <w:rsid w:val="00BD4165"/>
    <w:rsid w:val="00BD60E6"/>
    <w:rsid w:val="00BD7B75"/>
    <w:rsid w:val="00BE1688"/>
    <w:rsid w:val="00BE24D6"/>
    <w:rsid w:val="00BE3083"/>
    <w:rsid w:val="00BE4B98"/>
    <w:rsid w:val="00BE5B9C"/>
    <w:rsid w:val="00BE619D"/>
    <w:rsid w:val="00BE79F7"/>
    <w:rsid w:val="00BF32A2"/>
    <w:rsid w:val="00BF34B2"/>
    <w:rsid w:val="00BF369D"/>
    <w:rsid w:val="00BF5397"/>
    <w:rsid w:val="00C011EE"/>
    <w:rsid w:val="00C0330B"/>
    <w:rsid w:val="00C10B43"/>
    <w:rsid w:val="00C10ECB"/>
    <w:rsid w:val="00C11FB0"/>
    <w:rsid w:val="00C1243E"/>
    <w:rsid w:val="00C1290E"/>
    <w:rsid w:val="00C12A2E"/>
    <w:rsid w:val="00C12F84"/>
    <w:rsid w:val="00C16686"/>
    <w:rsid w:val="00C223B8"/>
    <w:rsid w:val="00C224EE"/>
    <w:rsid w:val="00C254DB"/>
    <w:rsid w:val="00C26171"/>
    <w:rsid w:val="00C26200"/>
    <w:rsid w:val="00C27E95"/>
    <w:rsid w:val="00C3068C"/>
    <w:rsid w:val="00C3134F"/>
    <w:rsid w:val="00C33C40"/>
    <w:rsid w:val="00C35CA1"/>
    <w:rsid w:val="00C420FC"/>
    <w:rsid w:val="00C428DF"/>
    <w:rsid w:val="00C441C4"/>
    <w:rsid w:val="00C4473C"/>
    <w:rsid w:val="00C456B0"/>
    <w:rsid w:val="00C46FB1"/>
    <w:rsid w:val="00C5104F"/>
    <w:rsid w:val="00C51533"/>
    <w:rsid w:val="00C5326D"/>
    <w:rsid w:val="00C53E23"/>
    <w:rsid w:val="00C54C8B"/>
    <w:rsid w:val="00C5542E"/>
    <w:rsid w:val="00C55B75"/>
    <w:rsid w:val="00C57B6C"/>
    <w:rsid w:val="00C60FF8"/>
    <w:rsid w:val="00C66AFA"/>
    <w:rsid w:val="00C670D6"/>
    <w:rsid w:val="00C7179F"/>
    <w:rsid w:val="00C76FE1"/>
    <w:rsid w:val="00C7721A"/>
    <w:rsid w:val="00C77D6C"/>
    <w:rsid w:val="00C81987"/>
    <w:rsid w:val="00C82266"/>
    <w:rsid w:val="00C83AF6"/>
    <w:rsid w:val="00C844E9"/>
    <w:rsid w:val="00C86234"/>
    <w:rsid w:val="00C862DA"/>
    <w:rsid w:val="00C86F5B"/>
    <w:rsid w:val="00C87D4C"/>
    <w:rsid w:val="00C91B63"/>
    <w:rsid w:val="00C91C83"/>
    <w:rsid w:val="00C91CFB"/>
    <w:rsid w:val="00C92194"/>
    <w:rsid w:val="00C92B5A"/>
    <w:rsid w:val="00C946DF"/>
    <w:rsid w:val="00C9787E"/>
    <w:rsid w:val="00CA250E"/>
    <w:rsid w:val="00CA3A03"/>
    <w:rsid w:val="00CA5374"/>
    <w:rsid w:val="00CA587C"/>
    <w:rsid w:val="00CA79F4"/>
    <w:rsid w:val="00CA7B62"/>
    <w:rsid w:val="00CB1EDC"/>
    <w:rsid w:val="00CB2464"/>
    <w:rsid w:val="00CB4A4F"/>
    <w:rsid w:val="00CB5BE2"/>
    <w:rsid w:val="00CB678F"/>
    <w:rsid w:val="00CB72E7"/>
    <w:rsid w:val="00CB7582"/>
    <w:rsid w:val="00CC00C4"/>
    <w:rsid w:val="00CC146F"/>
    <w:rsid w:val="00CC1EBB"/>
    <w:rsid w:val="00CC67B4"/>
    <w:rsid w:val="00CD1D53"/>
    <w:rsid w:val="00CD1F35"/>
    <w:rsid w:val="00CD3088"/>
    <w:rsid w:val="00CD3D7A"/>
    <w:rsid w:val="00CE25BD"/>
    <w:rsid w:val="00CE2E88"/>
    <w:rsid w:val="00CE2EE3"/>
    <w:rsid w:val="00CE68C9"/>
    <w:rsid w:val="00CF01CA"/>
    <w:rsid w:val="00CF0974"/>
    <w:rsid w:val="00CF32C0"/>
    <w:rsid w:val="00CF375B"/>
    <w:rsid w:val="00CF4FB3"/>
    <w:rsid w:val="00CF555E"/>
    <w:rsid w:val="00CF793B"/>
    <w:rsid w:val="00D04E59"/>
    <w:rsid w:val="00D051FE"/>
    <w:rsid w:val="00D068C8"/>
    <w:rsid w:val="00D07205"/>
    <w:rsid w:val="00D11059"/>
    <w:rsid w:val="00D12C32"/>
    <w:rsid w:val="00D13CD5"/>
    <w:rsid w:val="00D13E1D"/>
    <w:rsid w:val="00D15942"/>
    <w:rsid w:val="00D165A5"/>
    <w:rsid w:val="00D1769F"/>
    <w:rsid w:val="00D176AF"/>
    <w:rsid w:val="00D20C72"/>
    <w:rsid w:val="00D24D61"/>
    <w:rsid w:val="00D24DEA"/>
    <w:rsid w:val="00D24EBA"/>
    <w:rsid w:val="00D2649E"/>
    <w:rsid w:val="00D27255"/>
    <w:rsid w:val="00D309B2"/>
    <w:rsid w:val="00D36957"/>
    <w:rsid w:val="00D37B91"/>
    <w:rsid w:val="00D409E4"/>
    <w:rsid w:val="00D40B5B"/>
    <w:rsid w:val="00D40F78"/>
    <w:rsid w:val="00D43085"/>
    <w:rsid w:val="00D460C7"/>
    <w:rsid w:val="00D51D5F"/>
    <w:rsid w:val="00D5247D"/>
    <w:rsid w:val="00D5499D"/>
    <w:rsid w:val="00D56302"/>
    <w:rsid w:val="00D56CDA"/>
    <w:rsid w:val="00D5736E"/>
    <w:rsid w:val="00D619E0"/>
    <w:rsid w:val="00D642EA"/>
    <w:rsid w:val="00D65390"/>
    <w:rsid w:val="00D744D5"/>
    <w:rsid w:val="00D814C3"/>
    <w:rsid w:val="00D839BD"/>
    <w:rsid w:val="00D87541"/>
    <w:rsid w:val="00D875F2"/>
    <w:rsid w:val="00D90E3B"/>
    <w:rsid w:val="00D9239B"/>
    <w:rsid w:val="00D93A36"/>
    <w:rsid w:val="00D94507"/>
    <w:rsid w:val="00D95DEC"/>
    <w:rsid w:val="00DA1355"/>
    <w:rsid w:val="00DA1662"/>
    <w:rsid w:val="00DA7E89"/>
    <w:rsid w:val="00DB1243"/>
    <w:rsid w:val="00DB5208"/>
    <w:rsid w:val="00DB74F7"/>
    <w:rsid w:val="00DB7905"/>
    <w:rsid w:val="00DC122B"/>
    <w:rsid w:val="00DC384C"/>
    <w:rsid w:val="00DD1B14"/>
    <w:rsid w:val="00DD1DE5"/>
    <w:rsid w:val="00DD3248"/>
    <w:rsid w:val="00DD3D0A"/>
    <w:rsid w:val="00DD68EB"/>
    <w:rsid w:val="00DE0E66"/>
    <w:rsid w:val="00DE0E99"/>
    <w:rsid w:val="00DE12A9"/>
    <w:rsid w:val="00DE3B86"/>
    <w:rsid w:val="00DE4C04"/>
    <w:rsid w:val="00DE6F46"/>
    <w:rsid w:val="00DF3079"/>
    <w:rsid w:val="00DF6555"/>
    <w:rsid w:val="00DF6EF6"/>
    <w:rsid w:val="00E00D1E"/>
    <w:rsid w:val="00E01100"/>
    <w:rsid w:val="00E03CCA"/>
    <w:rsid w:val="00E043CE"/>
    <w:rsid w:val="00E11661"/>
    <w:rsid w:val="00E14AD5"/>
    <w:rsid w:val="00E162F8"/>
    <w:rsid w:val="00E173A2"/>
    <w:rsid w:val="00E175A1"/>
    <w:rsid w:val="00E22540"/>
    <w:rsid w:val="00E225AE"/>
    <w:rsid w:val="00E27417"/>
    <w:rsid w:val="00E3049C"/>
    <w:rsid w:val="00E30875"/>
    <w:rsid w:val="00E3184B"/>
    <w:rsid w:val="00E31A17"/>
    <w:rsid w:val="00E33F44"/>
    <w:rsid w:val="00E34563"/>
    <w:rsid w:val="00E35EA0"/>
    <w:rsid w:val="00E36743"/>
    <w:rsid w:val="00E36C97"/>
    <w:rsid w:val="00E3742B"/>
    <w:rsid w:val="00E40488"/>
    <w:rsid w:val="00E40C40"/>
    <w:rsid w:val="00E4234D"/>
    <w:rsid w:val="00E42B85"/>
    <w:rsid w:val="00E445F9"/>
    <w:rsid w:val="00E450D1"/>
    <w:rsid w:val="00E45945"/>
    <w:rsid w:val="00E46B42"/>
    <w:rsid w:val="00E475F6"/>
    <w:rsid w:val="00E478B9"/>
    <w:rsid w:val="00E50C6E"/>
    <w:rsid w:val="00E52622"/>
    <w:rsid w:val="00E53265"/>
    <w:rsid w:val="00E55A93"/>
    <w:rsid w:val="00E607EE"/>
    <w:rsid w:val="00E611A7"/>
    <w:rsid w:val="00E616D0"/>
    <w:rsid w:val="00E621FF"/>
    <w:rsid w:val="00E62E9B"/>
    <w:rsid w:val="00E64A4D"/>
    <w:rsid w:val="00E72FE9"/>
    <w:rsid w:val="00E7347F"/>
    <w:rsid w:val="00E739C2"/>
    <w:rsid w:val="00E746EE"/>
    <w:rsid w:val="00E756E3"/>
    <w:rsid w:val="00E7730C"/>
    <w:rsid w:val="00E80717"/>
    <w:rsid w:val="00E822D4"/>
    <w:rsid w:val="00E828AC"/>
    <w:rsid w:val="00E82E4A"/>
    <w:rsid w:val="00E835C0"/>
    <w:rsid w:val="00E84DAA"/>
    <w:rsid w:val="00E86D1A"/>
    <w:rsid w:val="00E872C1"/>
    <w:rsid w:val="00E9132A"/>
    <w:rsid w:val="00E93C30"/>
    <w:rsid w:val="00E95A51"/>
    <w:rsid w:val="00E96B41"/>
    <w:rsid w:val="00EA0399"/>
    <w:rsid w:val="00EA2663"/>
    <w:rsid w:val="00EA47F9"/>
    <w:rsid w:val="00EA57AE"/>
    <w:rsid w:val="00EA732A"/>
    <w:rsid w:val="00EB592E"/>
    <w:rsid w:val="00EC034F"/>
    <w:rsid w:val="00EC1203"/>
    <w:rsid w:val="00EC28D1"/>
    <w:rsid w:val="00EC44B7"/>
    <w:rsid w:val="00EC780B"/>
    <w:rsid w:val="00ED1A0C"/>
    <w:rsid w:val="00ED2381"/>
    <w:rsid w:val="00ED2509"/>
    <w:rsid w:val="00ED2974"/>
    <w:rsid w:val="00ED29F0"/>
    <w:rsid w:val="00ED2C89"/>
    <w:rsid w:val="00ED339D"/>
    <w:rsid w:val="00ED6568"/>
    <w:rsid w:val="00EE15CF"/>
    <w:rsid w:val="00EE23A6"/>
    <w:rsid w:val="00EE34F1"/>
    <w:rsid w:val="00EE6D00"/>
    <w:rsid w:val="00EE7C25"/>
    <w:rsid w:val="00EE7D22"/>
    <w:rsid w:val="00EF06AD"/>
    <w:rsid w:val="00EF38DB"/>
    <w:rsid w:val="00EF4143"/>
    <w:rsid w:val="00EF437B"/>
    <w:rsid w:val="00EF4935"/>
    <w:rsid w:val="00EF53B3"/>
    <w:rsid w:val="00EF571F"/>
    <w:rsid w:val="00EF5D59"/>
    <w:rsid w:val="00F0060E"/>
    <w:rsid w:val="00F0514C"/>
    <w:rsid w:val="00F0515C"/>
    <w:rsid w:val="00F0634D"/>
    <w:rsid w:val="00F1064D"/>
    <w:rsid w:val="00F121F9"/>
    <w:rsid w:val="00F122E4"/>
    <w:rsid w:val="00F13536"/>
    <w:rsid w:val="00F149A1"/>
    <w:rsid w:val="00F17392"/>
    <w:rsid w:val="00F242D6"/>
    <w:rsid w:val="00F24947"/>
    <w:rsid w:val="00F24CC5"/>
    <w:rsid w:val="00F25298"/>
    <w:rsid w:val="00F27ABF"/>
    <w:rsid w:val="00F30269"/>
    <w:rsid w:val="00F31760"/>
    <w:rsid w:val="00F3476D"/>
    <w:rsid w:val="00F34BD9"/>
    <w:rsid w:val="00F36538"/>
    <w:rsid w:val="00F36E98"/>
    <w:rsid w:val="00F379A5"/>
    <w:rsid w:val="00F416EF"/>
    <w:rsid w:val="00F45C0D"/>
    <w:rsid w:val="00F45C5A"/>
    <w:rsid w:val="00F467D5"/>
    <w:rsid w:val="00F471A1"/>
    <w:rsid w:val="00F5348F"/>
    <w:rsid w:val="00F53630"/>
    <w:rsid w:val="00F5772C"/>
    <w:rsid w:val="00F6074B"/>
    <w:rsid w:val="00F60DE3"/>
    <w:rsid w:val="00F64A5E"/>
    <w:rsid w:val="00F67300"/>
    <w:rsid w:val="00F67E96"/>
    <w:rsid w:val="00F70325"/>
    <w:rsid w:val="00F723F9"/>
    <w:rsid w:val="00F739A5"/>
    <w:rsid w:val="00F74AFD"/>
    <w:rsid w:val="00F7538D"/>
    <w:rsid w:val="00F773A8"/>
    <w:rsid w:val="00F775DE"/>
    <w:rsid w:val="00F823FA"/>
    <w:rsid w:val="00F831B9"/>
    <w:rsid w:val="00F83336"/>
    <w:rsid w:val="00F8383D"/>
    <w:rsid w:val="00F85E1E"/>
    <w:rsid w:val="00F87246"/>
    <w:rsid w:val="00F90619"/>
    <w:rsid w:val="00F95A53"/>
    <w:rsid w:val="00F96330"/>
    <w:rsid w:val="00F96BEB"/>
    <w:rsid w:val="00FA136B"/>
    <w:rsid w:val="00FA1F6D"/>
    <w:rsid w:val="00FA2BE3"/>
    <w:rsid w:val="00FA2E4B"/>
    <w:rsid w:val="00FA412E"/>
    <w:rsid w:val="00FA4E0C"/>
    <w:rsid w:val="00FA5BF5"/>
    <w:rsid w:val="00FA66CB"/>
    <w:rsid w:val="00FA744E"/>
    <w:rsid w:val="00FB0B16"/>
    <w:rsid w:val="00FB1F45"/>
    <w:rsid w:val="00FB2680"/>
    <w:rsid w:val="00FB2AD8"/>
    <w:rsid w:val="00FB359C"/>
    <w:rsid w:val="00FB5154"/>
    <w:rsid w:val="00FB5899"/>
    <w:rsid w:val="00FB5D20"/>
    <w:rsid w:val="00FB76A4"/>
    <w:rsid w:val="00FC374B"/>
    <w:rsid w:val="00FC71B6"/>
    <w:rsid w:val="00FC7D03"/>
    <w:rsid w:val="00FD0550"/>
    <w:rsid w:val="00FD09E4"/>
    <w:rsid w:val="00FD13CF"/>
    <w:rsid w:val="00FD15BD"/>
    <w:rsid w:val="00FD6946"/>
    <w:rsid w:val="00FE5449"/>
    <w:rsid w:val="00FF0A5E"/>
    <w:rsid w:val="00FF2EDF"/>
    <w:rsid w:val="00FF30A7"/>
    <w:rsid w:val="00FF61A4"/>
    <w:rsid w:val="00FF760A"/>
  </w:rsids>
  <m:mathPr>
    <m:mathFont m:val="Cambria Math"/>
    <m:brkBin m:val="before"/>
    <m:brkBinSub m:val="--"/>
    <m:smallFrac m:val="0"/>
    <m:dispDef/>
    <m:lMargin m:val="0"/>
    <m:rMargin m:val="0"/>
    <m:defJc m:val="centerGroup"/>
    <m:wrapIndent m:val="1440"/>
    <m:intLim m:val="subSup"/>
    <m:naryLim m:val="undOvr"/>
  </m:mathPr>
  <w:themeFontLang w:val="de-AT"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D98F8"/>
  <w15:docId w15:val="{278B655C-2E13-4C5B-B519-87321B46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4042"/>
    <w:rPr>
      <w:rFonts w:ascii="Arial" w:hAnsi="Arial"/>
      <w:lang w:eastAsia="de-DE"/>
    </w:rPr>
  </w:style>
  <w:style w:type="paragraph" w:styleId="berschrift1">
    <w:name w:val="heading 1"/>
    <w:basedOn w:val="Standard"/>
    <w:next w:val="Standard"/>
    <w:qFormat/>
    <w:rsid w:val="00205850"/>
    <w:pPr>
      <w:keepNext/>
      <w:numPr>
        <w:numId w:val="26"/>
      </w:numPr>
      <w:spacing w:before="120" w:after="60"/>
      <w:outlineLvl w:val="0"/>
    </w:pPr>
    <w:rPr>
      <w:b/>
      <w:kern w:val="28"/>
      <w:u w:val="single"/>
    </w:rPr>
  </w:style>
  <w:style w:type="paragraph" w:styleId="berschrift2">
    <w:name w:val="heading 2"/>
    <w:basedOn w:val="berschrift1"/>
    <w:next w:val="Standard"/>
    <w:qFormat/>
    <w:rsid w:val="00B44042"/>
    <w:pPr>
      <w:numPr>
        <w:ilvl w:val="1"/>
      </w:numPr>
      <w:outlineLvl w:val="1"/>
    </w:pPr>
    <w:rPr>
      <w:u w:val="none"/>
    </w:rPr>
  </w:style>
  <w:style w:type="paragraph" w:styleId="berschrift3">
    <w:name w:val="heading 3"/>
    <w:basedOn w:val="berschrift2"/>
    <w:next w:val="Standard"/>
    <w:qFormat/>
    <w:rsid w:val="00B44042"/>
    <w:pPr>
      <w:numPr>
        <w:ilvl w:val="2"/>
      </w:numPr>
      <w:spacing w:before="240"/>
      <w:outlineLvl w:val="2"/>
    </w:pPr>
    <w:rPr>
      <w:b w:val="0"/>
    </w:rPr>
  </w:style>
  <w:style w:type="paragraph" w:styleId="berschrift4">
    <w:name w:val="heading 4"/>
    <w:basedOn w:val="Standard"/>
    <w:next w:val="Standard"/>
    <w:autoRedefine/>
    <w:qFormat/>
    <w:rsid w:val="001F03CE"/>
    <w:pPr>
      <w:keepNext/>
      <w:numPr>
        <w:ilvl w:val="3"/>
        <w:numId w:val="26"/>
      </w:numPr>
      <w:spacing w:before="240" w:after="60"/>
      <w:outlineLvl w:val="3"/>
    </w:pPr>
  </w:style>
  <w:style w:type="paragraph" w:styleId="berschrift5">
    <w:name w:val="heading 5"/>
    <w:basedOn w:val="Standard"/>
    <w:next w:val="Standard"/>
    <w:qFormat/>
    <w:rsid w:val="00B44042"/>
    <w:pPr>
      <w:numPr>
        <w:ilvl w:val="4"/>
        <w:numId w:val="26"/>
      </w:numPr>
      <w:spacing w:before="240" w:after="60"/>
      <w:outlineLvl w:val="4"/>
    </w:pPr>
  </w:style>
  <w:style w:type="paragraph" w:styleId="berschrift6">
    <w:name w:val="heading 6"/>
    <w:basedOn w:val="Standard"/>
    <w:next w:val="Standard"/>
    <w:qFormat/>
    <w:rsid w:val="00B44042"/>
    <w:pPr>
      <w:numPr>
        <w:ilvl w:val="5"/>
        <w:numId w:val="26"/>
      </w:numPr>
      <w:spacing w:before="240" w:after="60"/>
      <w:outlineLvl w:val="5"/>
    </w:pPr>
  </w:style>
  <w:style w:type="paragraph" w:styleId="berschrift7">
    <w:name w:val="heading 7"/>
    <w:basedOn w:val="Standard"/>
    <w:next w:val="Standard"/>
    <w:qFormat/>
    <w:rsid w:val="00B44042"/>
    <w:pPr>
      <w:numPr>
        <w:ilvl w:val="6"/>
        <w:numId w:val="26"/>
      </w:numPr>
      <w:spacing w:before="240" w:after="60"/>
      <w:outlineLvl w:val="6"/>
    </w:pPr>
  </w:style>
  <w:style w:type="paragraph" w:styleId="berschrift8">
    <w:name w:val="heading 8"/>
    <w:basedOn w:val="Standard"/>
    <w:next w:val="Standard"/>
    <w:qFormat/>
    <w:rsid w:val="00B44042"/>
    <w:pPr>
      <w:numPr>
        <w:ilvl w:val="7"/>
        <w:numId w:val="26"/>
      </w:numPr>
      <w:spacing w:before="240" w:after="60"/>
      <w:outlineLvl w:val="7"/>
    </w:pPr>
  </w:style>
  <w:style w:type="paragraph" w:styleId="berschrift9">
    <w:name w:val="heading 9"/>
    <w:basedOn w:val="Standard"/>
    <w:next w:val="Standard"/>
    <w:qFormat/>
    <w:rsid w:val="00B44042"/>
    <w:pPr>
      <w:numPr>
        <w:ilvl w:val="8"/>
        <w:numId w:val="26"/>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4042"/>
    <w:pPr>
      <w:tabs>
        <w:tab w:val="center" w:pos="4536"/>
        <w:tab w:val="right" w:pos="9072"/>
      </w:tabs>
    </w:pPr>
  </w:style>
  <w:style w:type="paragraph" w:styleId="Abbildungsverzeichnis">
    <w:name w:val="table of figures"/>
    <w:basedOn w:val="Standard"/>
    <w:next w:val="Standard"/>
    <w:semiHidden/>
    <w:rsid w:val="00B44042"/>
    <w:pPr>
      <w:ind w:left="400" w:hanging="400"/>
    </w:pPr>
  </w:style>
  <w:style w:type="paragraph" w:styleId="Fuzeile">
    <w:name w:val="footer"/>
    <w:basedOn w:val="Standard"/>
    <w:rsid w:val="00B44042"/>
    <w:pPr>
      <w:tabs>
        <w:tab w:val="center" w:pos="4536"/>
        <w:tab w:val="right" w:pos="9072"/>
      </w:tabs>
    </w:pPr>
  </w:style>
  <w:style w:type="paragraph" w:styleId="Verzeichnis1">
    <w:name w:val="toc 1"/>
    <w:basedOn w:val="Standard"/>
    <w:next w:val="Standard"/>
    <w:uiPriority w:val="39"/>
    <w:rsid w:val="00B44042"/>
    <w:pPr>
      <w:spacing w:before="120" w:after="120"/>
    </w:pPr>
    <w:rPr>
      <w:rFonts w:ascii="Times New Roman" w:hAnsi="Times New Roman"/>
      <w:b/>
      <w:caps/>
      <w:lang w:val="de-DE"/>
    </w:rPr>
  </w:style>
  <w:style w:type="character" w:styleId="Hyperlink">
    <w:name w:val="Hyperlink"/>
    <w:uiPriority w:val="99"/>
    <w:rsid w:val="00B44042"/>
    <w:rPr>
      <w:color w:val="0000FF"/>
      <w:u w:val="single"/>
    </w:rPr>
  </w:style>
  <w:style w:type="character" w:styleId="Funotenzeichen">
    <w:name w:val="footnote reference"/>
    <w:uiPriority w:val="99"/>
    <w:rsid w:val="00B44042"/>
    <w:rPr>
      <w:vertAlign w:val="superscript"/>
    </w:rPr>
  </w:style>
  <w:style w:type="paragraph" w:styleId="Funotentext">
    <w:name w:val="footnote text"/>
    <w:basedOn w:val="Standard"/>
    <w:link w:val="FunotentextZchn"/>
    <w:uiPriority w:val="99"/>
    <w:rsid w:val="00B44042"/>
    <w:pPr>
      <w:jc w:val="both"/>
    </w:pPr>
    <w:rPr>
      <w:rFonts w:ascii="Times New Roman" w:hAnsi="Times New Roman"/>
      <w:lang w:val="de-DE"/>
    </w:rPr>
  </w:style>
  <w:style w:type="paragraph" w:customStyle="1" w:styleId="Betrifft">
    <w:name w:val="Betrifft"/>
    <w:basedOn w:val="Standard"/>
    <w:next w:val="Standard"/>
    <w:rsid w:val="00B44042"/>
    <w:pPr>
      <w:pBdr>
        <w:bottom w:val="single" w:sz="4" w:space="1" w:color="auto"/>
      </w:pBdr>
    </w:pPr>
    <w:rPr>
      <w:rFonts w:ascii="Helvetica (PCL6)" w:hAnsi="Helvetica (PCL6)"/>
      <w:b/>
      <w:smallCaps/>
    </w:rPr>
  </w:style>
  <w:style w:type="character" w:styleId="Fett">
    <w:name w:val="Strong"/>
    <w:uiPriority w:val="22"/>
    <w:qFormat/>
    <w:rsid w:val="00B44042"/>
    <w:rPr>
      <w:b/>
      <w:bCs/>
    </w:rPr>
  </w:style>
  <w:style w:type="paragraph" w:styleId="Kommentartext">
    <w:name w:val="annotation text"/>
    <w:basedOn w:val="Standard"/>
    <w:semiHidden/>
    <w:rsid w:val="00B44042"/>
    <w:rPr>
      <w:rFonts w:ascii="Times New Roman" w:hAnsi="Times New Roman"/>
      <w:lang w:val="de-DE"/>
    </w:rPr>
  </w:style>
  <w:style w:type="paragraph" w:styleId="Indexberschrift">
    <w:name w:val="index heading"/>
    <w:basedOn w:val="Standard"/>
    <w:next w:val="Index1"/>
    <w:semiHidden/>
    <w:rsid w:val="00B44042"/>
    <w:rPr>
      <w:b/>
      <w:sz w:val="24"/>
      <w:lang w:val="de-DE"/>
    </w:rPr>
  </w:style>
  <w:style w:type="paragraph" w:styleId="Index1">
    <w:name w:val="index 1"/>
    <w:basedOn w:val="Standard"/>
    <w:next w:val="Standard"/>
    <w:autoRedefine/>
    <w:semiHidden/>
    <w:rsid w:val="00B44042"/>
    <w:pPr>
      <w:ind w:left="200" w:hanging="200"/>
    </w:pPr>
  </w:style>
  <w:style w:type="paragraph" w:styleId="Textkrper2">
    <w:name w:val="Body Text 2"/>
    <w:basedOn w:val="Standard"/>
    <w:rsid w:val="00B44042"/>
    <w:pPr>
      <w:ind w:left="283"/>
    </w:pPr>
    <w:rPr>
      <w:rFonts w:ascii="Times New Roman" w:hAnsi="Times New Roman"/>
      <w:sz w:val="24"/>
      <w:lang w:val="de-DE"/>
    </w:rPr>
  </w:style>
  <w:style w:type="paragraph" w:styleId="NurText">
    <w:name w:val="Plain Text"/>
    <w:basedOn w:val="Standard"/>
    <w:rsid w:val="00B44042"/>
    <w:rPr>
      <w:rFonts w:ascii="Courier New" w:hAnsi="Courier New"/>
      <w:lang w:val="de-DE"/>
    </w:rPr>
  </w:style>
  <w:style w:type="paragraph" w:styleId="Listenfortsetzung">
    <w:name w:val="List Continue"/>
    <w:basedOn w:val="Standard"/>
    <w:rsid w:val="00B44042"/>
    <w:pPr>
      <w:spacing w:after="120"/>
      <w:ind w:left="283"/>
    </w:pPr>
    <w:rPr>
      <w:rFonts w:ascii="Times New Roman" w:hAnsi="Times New Roman"/>
      <w:sz w:val="24"/>
      <w:lang w:val="de-DE"/>
    </w:rPr>
  </w:style>
  <w:style w:type="character" w:styleId="Seitenzahl">
    <w:name w:val="page number"/>
    <w:basedOn w:val="Absatz-Standardschriftart"/>
    <w:rsid w:val="00B44042"/>
  </w:style>
  <w:style w:type="paragraph" w:styleId="Titel">
    <w:name w:val="Title"/>
    <w:basedOn w:val="Standard"/>
    <w:qFormat/>
    <w:rsid w:val="00B44042"/>
    <w:pPr>
      <w:pBdr>
        <w:top w:val="single" w:sz="6" w:space="1" w:color="auto"/>
        <w:left w:val="single" w:sz="6" w:space="1" w:color="auto"/>
        <w:bottom w:val="single" w:sz="6" w:space="1" w:color="auto"/>
        <w:right w:val="single" w:sz="6" w:space="17" w:color="auto"/>
      </w:pBdr>
      <w:ind w:left="-142" w:right="-114"/>
      <w:jc w:val="center"/>
      <w:outlineLvl w:val="0"/>
    </w:pPr>
    <w:rPr>
      <w:rFonts w:cs="Arial"/>
      <w:b/>
      <w:sz w:val="52"/>
    </w:rPr>
  </w:style>
  <w:style w:type="paragraph" w:styleId="StandardWeb">
    <w:name w:val="Normal (Web)"/>
    <w:basedOn w:val="Standard"/>
    <w:uiPriority w:val="99"/>
    <w:rsid w:val="00B44042"/>
    <w:pPr>
      <w:spacing w:before="100" w:beforeAutospacing="1" w:after="100" w:afterAutospacing="1"/>
    </w:pPr>
    <w:rPr>
      <w:rFonts w:ascii="Verdana" w:hAnsi="Verdana"/>
      <w:color w:val="000064"/>
      <w:sz w:val="24"/>
      <w:szCs w:val="24"/>
    </w:rPr>
  </w:style>
  <w:style w:type="paragraph" w:styleId="Aufzhlungszeichen">
    <w:name w:val="List Bullet"/>
    <w:basedOn w:val="Standard"/>
    <w:autoRedefine/>
    <w:rsid w:val="00B44042"/>
    <w:pPr>
      <w:tabs>
        <w:tab w:val="num" w:pos="737"/>
      </w:tabs>
      <w:spacing w:after="120"/>
      <w:ind w:left="737" w:hanging="397"/>
      <w:jc w:val="both"/>
    </w:pPr>
    <w:rPr>
      <w:sz w:val="22"/>
      <w:lang w:val="de-DE"/>
    </w:rPr>
  </w:style>
  <w:style w:type="paragraph" w:styleId="Aufzhlungszeichen2">
    <w:name w:val="List Bullet 2"/>
    <w:basedOn w:val="Standard"/>
    <w:autoRedefine/>
    <w:rsid w:val="00B44042"/>
    <w:pPr>
      <w:tabs>
        <w:tab w:val="left" w:pos="737"/>
      </w:tabs>
      <w:spacing w:after="120"/>
      <w:ind w:left="737" w:hanging="397"/>
      <w:jc w:val="both"/>
    </w:pPr>
    <w:rPr>
      <w:b/>
      <w:sz w:val="22"/>
      <w:lang w:val="de-DE"/>
    </w:rPr>
  </w:style>
  <w:style w:type="paragraph" w:styleId="Aufzhlungszeichen3">
    <w:name w:val="List Bullet 3"/>
    <w:basedOn w:val="Standard"/>
    <w:autoRedefine/>
    <w:rsid w:val="00B44042"/>
    <w:pPr>
      <w:tabs>
        <w:tab w:val="left" w:pos="1021"/>
      </w:tabs>
      <w:ind w:left="1021" w:hanging="284"/>
      <w:jc w:val="both"/>
    </w:pPr>
    <w:rPr>
      <w:sz w:val="22"/>
      <w:lang w:val="de-DE"/>
    </w:rPr>
  </w:style>
  <w:style w:type="character" w:customStyle="1" w:styleId="black">
    <w:name w:val="black"/>
    <w:basedOn w:val="Absatz-Standardschriftart"/>
    <w:rsid w:val="00B44042"/>
  </w:style>
  <w:style w:type="character" w:customStyle="1" w:styleId="berschrift1Zchn">
    <w:name w:val="Überschrift 1 Zchn"/>
    <w:uiPriority w:val="9"/>
    <w:rsid w:val="00B44042"/>
    <w:rPr>
      <w:rFonts w:ascii="Arial" w:hAnsi="Arial"/>
      <w:b/>
      <w:kern w:val="28"/>
      <w:u w:val="single"/>
      <w:lang w:val="de-AT" w:eastAsia="de-DE" w:bidi="ar-SA"/>
    </w:rPr>
  </w:style>
  <w:style w:type="paragraph" w:styleId="Textkrper-Zeileneinzug">
    <w:name w:val="Body Text Indent"/>
    <w:basedOn w:val="Standard"/>
    <w:rsid w:val="00B44042"/>
    <w:pPr>
      <w:spacing w:after="120"/>
      <w:ind w:left="283"/>
    </w:pPr>
  </w:style>
  <w:style w:type="paragraph" w:styleId="Textkrper">
    <w:name w:val="Body Text"/>
    <w:basedOn w:val="Standard"/>
    <w:rsid w:val="00B44042"/>
    <w:pPr>
      <w:spacing w:after="120"/>
    </w:pPr>
  </w:style>
  <w:style w:type="character" w:customStyle="1" w:styleId="berschrift1Zchn1">
    <w:name w:val="Überschrift 1 Zchn1"/>
    <w:rsid w:val="00B44042"/>
    <w:rPr>
      <w:rFonts w:ascii="Arial" w:hAnsi="Arial"/>
      <w:b/>
      <w:kern w:val="28"/>
      <w:u w:val="single"/>
      <w:lang w:val="de-AT" w:eastAsia="de-DE" w:bidi="ar-SA"/>
    </w:rPr>
  </w:style>
  <w:style w:type="character" w:customStyle="1" w:styleId="berschrift2Zchn">
    <w:name w:val="Überschrift 2 Zchn"/>
    <w:basedOn w:val="berschrift1Zchn1"/>
    <w:rsid w:val="00B44042"/>
    <w:rPr>
      <w:rFonts w:ascii="Arial" w:hAnsi="Arial"/>
      <w:b/>
      <w:kern w:val="28"/>
      <w:u w:val="single"/>
      <w:lang w:val="de-AT" w:eastAsia="de-DE" w:bidi="ar-SA"/>
    </w:rPr>
  </w:style>
  <w:style w:type="character" w:customStyle="1" w:styleId="hide">
    <w:name w:val="hide"/>
    <w:basedOn w:val="Absatz-Standardschriftart"/>
    <w:rsid w:val="00B44042"/>
  </w:style>
  <w:style w:type="character" w:customStyle="1" w:styleId="dnsuchwortft">
    <w:name w:val="dn_suchwortft"/>
    <w:basedOn w:val="Absatz-Standardschriftart"/>
    <w:rsid w:val="00B44042"/>
  </w:style>
  <w:style w:type="character" w:styleId="Kommentarzeichen">
    <w:name w:val="annotation reference"/>
    <w:semiHidden/>
    <w:rsid w:val="00B44042"/>
    <w:rPr>
      <w:sz w:val="16"/>
      <w:szCs w:val="16"/>
    </w:rPr>
  </w:style>
  <w:style w:type="paragraph" w:styleId="Kommentarthema">
    <w:name w:val="annotation subject"/>
    <w:basedOn w:val="Kommentartext"/>
    <w:next w:val="Kommentartext"/>
    <w:semiHidden/>
    <w:rsid w:val="00B44042"/>
    <w:rPr>
      <w:rFonts w:ascii="Arial" w:hAnsi="Arial"/>
      <w:b/>
      <w:bCs/>
      <w:lang w:val="de-AT"/>
    </w:rPr>
  </w:style>
  <w:style w:type="paragraph" w:styleId="Sprechblasentext">
    <w:name w:val="Balloon Text"/>
    <w:basedOn w:val="Standard"/>
    <w:semiHidden/>
    <w:rsid w:val="00B44042"/>
    <w:rPr>
      <w:rFonts w:ascii="Tahoma" w:hAnsi="Tahoma" w:cs="Tahoma"/>
      <w:sz w:val="16"/>
      <w:szCs w:val="16"/>
    </w:rPr>
  </w:style>
  <w:style w:type="character" w:styleId="Hervorhebung">
    <w:name w:val="Emphasis"/>
    <w:qFormat/>
    <w:rsid w:val="00B44042"/>
    <w:rPr>
      <w:i/>
      <w:iCs/>
    </w:rPr>
  </w:style>
  <w:style w:type="character" w:customStyle="1" w:styleId="bold">
    <w:name w:val="bold"/>
    <w:basedOn w:val="Absatz-Standardschriftart"/>
    <w:rsid w:val="00B44042"/>
  </w:style>
  <w:style w:type="paragraph" w:customStyle="1" w:styleId="loose">
    <w:name w:val="loose"/>
    <w:basedOn w:val="Standard"/>
    <w:rsid w:val="00B44042"/>
    <w:pPr>
      <w:spacing w:before="100" w:beforeAutospacing="1" w:after="100" w:afterAutospacing="1"/>
    </w:pPr>
    <w:rPr>
      <w:rFonts w:ascii="Arial Unicode MS" w:eastAsia="Arial Unicode MS" w:hAnsi="Arial Unicode MS" w:cs="Arial Unicode MS"/>
      <w:sz w:val="24"/>
      <w:szCs w:val="24"/>
    </w:rPr>
  </w:style>
  <w:style w:type="paragraph" w:styleId="Dokumentstruktur">
    <w:name w:val="Document Map"/>
    <w:basedOn w:val="Standard"/>
    <w:semiHidden/>
    <w:rsid w:val="00B44042"/>
    <w:pPr>
      <w:shd w:val="clear" w:color="auto" w:fill="000080"/>
    </w:pPr>
    <w:rPr>
      <w:rFonts w:ascii="Tahoma" w:hAnsi="Tahoma" w:cs="Tahoma"/>
    </w:rPr>
  </w:style>
  <w:style w:type="character" w:customStyle="1" w:styleId="bold1">
    <w:name w:val="bold1"/>
    <w:rsid w:val="00C441C4"/>
    <w:rPr>
      <w:b/>
      <w:bCs/>
    </w:rPr>
  </w:style>
  <w:style w:type="character" w:customStyle="1" w:styleId="KopfzeileZchn">
    <w:name w:val="Kopfzeile Zchn"/>
    <w:link w:val="Kopfzeile"/>
    <w:rsid w:val="00476FD3"/>
    <w:rPr>
      <w:rFonts w:ascii="Arial" w:hAnsi="Arial"/>
      <w:lang w:eastAsia="de-DE"/>
    </w:rPr>
  </w:style>
  <w:style w:type="table" w:styleId="Tabellenraster">
    <w:name w:val="Table Grid"/>
    <w:aliases w:val="IPG Table 1"/>
    <w:basedOn w:val="NormaleTabelle"/>
    <w:uiPriority w:val="59"/>
    <w:rsid w:val="00F4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rsid w:val="00F416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HelleSchattierung1">
    <w:name w:val="Helle Schattierung1"/>
    <w:basedOn w:val="NormaleTabelle"/>
    <w:uiPriority w:val="60"/>
    <w:rsid w:val="001565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15652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unotentextZchn">
    <w:name w:val="Fußnotentext Zchn"/>
    <w:link w:val="Funotentext"/>
    <w:uiPriority w:val="99"/>
    <w:rsid w:val="0039022E"/>
    <w:rPr>
      <w:lang w:val="de-DE" w:eastAsia="de-DE"/>
    </w:rPr>
  </w:style>
  <w:style w:type="paragraph" w:styleId="Listenabsatz">
    <w:name w:val="List Paragraph"/>
    <w:basedOn w:val="Standard"/>
    <w:uiPriority w:val="34"/>
    <w:qFormat/>
    <w:rsid w:val="00D24EBA"/>
    <w:pPr>
      <w:ind w:left="708"/>
    </w:pPr>
  </w:style>
  <w:style w:type="paragraph" w:customStyle="1" w:styleId="Fliesstexteohne">
    <w:name w:val="Fliesstexte ohne"/>
    <w:uiPriority w:val="99"/>
    <w:rsid w:val="00050680"/>
    <w:pPr>
      <w:autoSpaceDE w:val="0"/>
      <w:autoSpaceDN w:val="0"/>
      <w:adjustRightInd w:val="0"/>
      <w:spacing w:line="240" w:lineRule="atLeast"/>
      <w:jc w:val="both"/>
    </w:pPr>
    <w:rPr>
      <w:rFonts w:ascii="NewBskvll BT" w:hAnsi="NewBskvll BT" w:cs="NewBskvll BT"/>
      <w:color w:val="000000"/>
      <w:w w:val="0"/>
      <w:lang w:val="de-DE"/>
    </w:rPr>
  </w:style>
  <w:style w:type="paragraph" w:customStyle="1" w:styleId="Fliesstext">
    <w:name w:val="Fliesstext"/>
    <w:rsid w:val="00050680"/>
    <w:pPr>
      <w:autoSpaceDE w:val="0"/>
      <w:autoSpaceDN w:val="0"/>
      <w:adjustRightInd w:val="0"/>
      <w:spacing w:line="240" w:lineRule="atLeast"/>
      <w:ind w:firstLine="280"/>
      <w:jc w:val="both"/>
    </w:pPr>
    <w:rPr>
      <w:rFonts w:ascii="NewBskvll BT" w:hAnsi="NewBskvll BT" w:cs="NewBskvll BT"/>
      <w:color w:val="000000"/>
      <w:w w:val="0"/>
      <w:lang w:val="de-DE"/>
    </w:rPr>
  </w:style>
  <w:style w:type="character" w:customStyle="1" w:styleId="loose1">
    <w:name w:val="loose1"/>
    <w:basedOn w:val="Absatz-Standardschriftart"/>
    <w:rsid w:val="001666AE"/>
  </w:style>
  <w:style w:type="paragraph" w:customStyle="1" w:styleId="bodytext">
    <w:name w:val="bodytext"/>
    <w:basedOn w:val="Standard"/>
    <w:rsid w:val="007C1BC5"/>
    <w:pPr>
      <w:spacing w:after="82"/>
    </w:pPr>
    <w:rPr>
      <w:rFonts w:ascii="Times New Roman" w:hAnsi="Times New Roman"/>
      <w:sz w:val="24"/>
      <w:szCs w:val="24"/>
      <w:lang w:eastAsia="de-AT"/>
    </w:rPr>
  </w:style>
  <w:style w:type="character" w:styleId="BesuchterLink">
    <w:name w:val="FollowedHyperlink"/>
    <w:basedOn w:val="Absatz-Standardschriftart"/>
    <w:rsid w:val="00E043CE"/>
    <w:rPr>
      <w:color w:val="800080" w:themeColor="followedHyperlink"/>
      <w:u w:val="single"/>
    </w:rPr>
  </w:style>
  <w:style w:type="paragraph" w:styleId="Inhaltsverzeichnisberschrift">
    <w:name w:val="TOC Heading"/>
    <w:basedOn w:val="berschrift1"/>
    <w:next w:val="Standard"/>
    <w:uiPriority w:val="39"/>
    <w:semiHidden/>
    <w:unhideWhenUsed/>
    <w:qFormat/>
    <w:rsid w:val="0070475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u w:val="none"/>
      <w:lang w:eastAsia="de-AT"/>
    </w:rPr>
  </w:style>
  <w:style w:type="paragraph" w:styleId="Verzeichnis2">
    <w:name w:val="toc 2"/>
    <w:basedOn w:val="Standard"/>
    <w:next w:val="Standard"/>
    <w:autoRedefine/>
    <w:uiPriority w:val="39"/>
    <w:rsid w:val="0070475B"/>
    <w:pPr>
      <w:spacing w:after="100"/>
      <w:ind w:left="200"/>
    </w:pPr>
  </w:style>
  <w:style w:type="character" w:customStyle="1" w:styleId="apple-converted-space">
    <w:name w:val="apple-converted-space"/>
    <w:basedOn w:val="Absatz-Standardschriftart"/>
    <w:rsid w:val="00AF3FC1"/>
  </w:style>
  <w:style w:type="paragraph" w:customStyle="1" w:styleId="date1">
    <w:name w:val="date1"/>
    <w:basedOn w:val="Standard"/>
    <w:rsid w:val="00F60DE3"/>
    <w:rPr>
      <w:rFonts w:ascii="Times New Roman" w:hAnsi="Times New Roman"/>
      <w:b/>
      <w:bCs/>
      <w:sz w:val="24"/>
      <w:szCs w:val="24"/>
      <w:lang w:eastAsia="de-AT"/>
    </w:rPr>
  </w:style>
  <w:style w:type="character" w:customStyle="1" w:styleId="bold2">
    <w:name w:val="bold2"/>
    <w:basedOn w:val="Absatz-Standardschriftart"/>
    <w:rsid w:val="00566AC8"/>
    <w:rPr>
      <w:b/>
      <w:bCs/>
    </w:rPr>
  </w:style>
  <w:style w:type="paragraph" w:customStyle="1" w:styleId="Text">
    <w:name w:val="Text"/>
    <w:basedOn w:val="Standard"/>
    <w:rsid w:val="008E734C"/>
    <w:pPr>
      <w:spacing w:line="260" w:lineRule="exact"/>
      <w:ind w:firstLine="397"/>
    </w:pPr>
    <w:rPr>
      <w:rFonts w:ascii="Times New Roman" w:hAnsi="Times New Roman"/>
      <w:sz w:val="22"/>
      <w:szCs w:val="24"/>
    </w:rPr>
  </w:style>
  <w:style w:type="paragraph" w:customStyle="1" w:styleId="2">
    <w:name w:val="Ü2"/>
    <w:basedOn w:val="Standard"/>
    <w:next w:val="Text"/>
    <w:autoRedefine/>
    <w:rsid w:val="008E734C"/>
    <w:pPr>
      <w:spacing w:before="240" w:after="60"/>
      <w:outlineLvl w:val="1"/>
    </w:pPr>
    <w:rPr>
      <w:rFonts w:ascii="Times New Roman" w:hAnsi="Times New Roman"/>
      <w:b/>
      <w:sz w:val="24"/>
      <w:szCs w:val="24"/>
    </w:rPr>
  </w:style>
  <w:style w:type="paragraph" w:customStyle="1" w:styleId="Aufzhlung1">
    <w:name w:val="Aufzählung1"/>
    <w:basedOn w:val="Text"/>
    <w:rsid w:val="008E734C"/>
    <w:pPr>
      <w:numPr>
        <w:numId w:val="2"/>
      </w:numPr>
      <w:tabs>
        <w:tab w:val="clear" w:pos="360"/>
        <w:tab w:val="left" w:pos="397"/>
      </w:tabs>
      <w:ind w:left="397" w:hanging="397"/>
    </w:pPr>
  </w:style>
  <w:style w:type="paragraph" w:customStyle="1" w:styleId="printable-content">
    <w:name w:val="printable-content"/>
    <w:basedOn w:val="Standard"/>
    <w:rsid w:val="008E734C"/>
    <w:pPr>
      <w:spacing w:before="100" w:beforeAutospacing="1" w:after="100" w:afterAutospacing="1"/>
    </w:pPr>
    <w:rPr>
      <w:rFonts w:ascii="Times New Roman" w:hAnsi="Times New Roman"/>
      <w:sz w:val="24"/>
      <w:szCs w:val="24"/>
      <w:lang w:eastAsia="de-AT"/>
    </w:rPr>
  </w:style>
  <w:style w:type="character" w:customStyle="1" w:styleId="italic1">
    <w:name w:val="italic1"/>
    <w:basedOn w:val="Absatz-Standardschriftart"/>
    <w:rsid w:val="00D94507"/>
    <w:rPr>
      <w:i/>
      <w:iCs/>
    </w:rPr>
  </w:style>
  <w:style w:type="character" w:customStyle="1" w:styleId="header-prefix3">
    <w:name w:val="header-prefix3"/>
    <w:basedOn w:val="Absatz-Standardschriftart"/>
    <w:rsid w:val="00970FC0"/>
  </w:style>
  <w:style w:type="character" w:customStyle="1" w:styleId="NichtaufgelsteErwhnung1">
    <w:name w:val="Nicht aufgelöste Erwähnung1"/>
    <w:basedOn w:val="Absatz-Standardschriftart"/>
    <w:uiPriority w:val="99"/>
    <w:semiHidden/>
    <w:unhideWhenUsed/>
    <w:rsid w:val="00876338"/>
    <w:rPr>
      <w:color w:val="605E5C"/>
      <w:shd w:val="clear" w:color="auto" w:fill="E1DFDD"/>
    </w:rPr>
  </w:style>
  <w:style w:type="character" w:customStyle="1" w:styleId="tple">
    <w:name w:val="tple"/>
    <w:basedOn w:val="Absatz-Standardschriftart"/>
    <w:rsid w:val="00CB678F"/>
  </w:style>
  <w:style w:type="paragraph" w:customStyle="1" w:styleId="article-desc">
    <w:name w:val="article-desc"/>
    <w:basedOn w:val="Standard"/>
    <w:rsid w:val="00E36C97"/>
    <w:pPr>
      <w:spacing w:before="100" w:beforeAutospacing="1" w:after="100" w:afterAutospacing="1"/>
    </w:pPr>
    <w:rPr>
      <w:rFonts w:ascii="Times New Roman" w:hAnsi="Times New Roman"/>
      <w:sz w:val="24"/>
      <w:szCs w:val="24"/>
      <w:lang w:val="de-DE"/>
    </w:rPr>
  </w:style>
  <w:style w:type="paragraph" w:customStyle="1" w:styleId="publish-date">
    <w:name w:val="publish-date"/>
    <w:basedOn w:val="Standard"/>
    <w:rsid w:val="00E36C97"/>
    <w:pPr>
      <w:spacing w:before="100" w:beforeAutospacing="1" w:after="100" w:afterAutospacing="1"/>
    </w:pPr>
    <w:rPr>
      <w:rFonts w:ascii="Times New Roman" w:hAnsi="Times New Roman"/>
      <w:sz w:val="24"/>
      <w:szCs w:val="24"/>
      <w:lang w:val="de-DE"/>
    </w:rPr>
  </w:style>
  <w:style w:type="paragraph" w:customStyle="1" w:styleId="BDOCOPY">
    <w:name w:val="BDO COPY"/>
    <w:basedOn w:val="Standard"/>
    <w:qFormat/>
    <w:rsid w:val="00205850"/>
    <w:pPr>
      <w:tabs>
        <w:tab w:val="left" w:pos="426"/>
      </w:tabs>
      <w:spacing w:before="40" w:after="40" w:line="240" w:lineRule="atLeast"/>
      <w:jc w:val="both"/>
    </w:pPr>
    <w:rPr>
      <w:rFonts w:ascii="Trebuchet MS" w:hAnsi="Trebuchet MS"/>
      <w:color w:val="685040"/>
      <w:kern w:val="20"/>
      <w:lang w:val="de-DE"/>
    </w:rPr>
  </w:style>
  <w:style w:type="paragraph" w:styleId="KeinLeerraum">
    <w:name w:val="No Spacing"/>
    <w:uiPriority w:val="1"/>
    <w:qFormat/>
    <w:rsid w:val="00205850"/>
    <w:rPr>
      <w:rFonts w:asciiTheme="minorHAnsi" w:eastAsiaTheme="minorHAnsi" w:hAnsiTheme="minorHAnsi" w:cstheme="minorBidi"/>
      <w:sz w:val="22"/>
      <w:szCs w:val="22"/>
      <w:lang w:val="de-DE" w:eastAsia="en-US"/>
    </w:rPr>
  </w:style>
  <w:style w:type="character" w:styleId="NichtaufgelsteErwhnung">
    <w:name w:val="Unresolved Mention"/>
    <w:basedOn w:val="Absatz-Standardschriftart"/>
    <w:uiPriority w:val="99"/>
    <w:semiHidden/>
    <w:unhideWhenUsed/>
    <w:rsid w:val="00FB2AD8"/>
    <w:rPr>
      <w:color w:val="605E5C"/>
      <w:shd w:val="clear" w:color="auto" w:fill="E1DFDD"/>
    </w:rPr>
  </w:style>
  <w:style w:type="table" w:styleId="HelleListe-Akzent6">
    <w:name w:val="Light List Accent 6"/>
    <w:basedOn w:val="NormaleTabelle"/>
    <w:uiPriority w:val="61"/>
    <w:rsid w:val="00D24D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erarbeitung">
    <w:name w:val="Revision"/>
    <w:hidden/>
    <w:uiPriority w:val="99"/>
    <w:semiHidden/>
    <w:rsid w:val="0087123E"/>
    <w:rPr>
      <w:rFonts w:ascii="Arial" w:hAnsi="Arial"/>
      <w:lang w:eastAsia="de-DE"/>
    </w:rPr>
  </w:style>
  <w:style w:type="paragraph" w:customStyle="1" w:styleId="EinfAbs">
    <w:name w:val="[Einf. Abs.]"/>
    <w:basedOn w:val="Standard"/>
    <w:uiPriority w:val="99"/>
    <w:rsid w:val="002E08C2"/>
    <w:pPr>
      <w:autoSpaceDE w:val="0"/>
      <w:autoSpaceDN w:val="0"/>
      <w:adjustRightInd w:val="0"/>
      <w:spacing w:line="288" w:lineRule="auto"/>
    </w:pPr>
    <w:rPr>
      <w:rFonts w:ascii="Minion Pro" w:eastAsia="SimSun" w:hAnsi="Minion Pro" w:cs="Minion Pro"/>
      <w:color w:val="000000"/>
      <w:sz w:val="24"/>
      <w:szCs w:val="24"/>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969">
      <w:bodyDiv w:val="1"/>
      <w:marLeft w:val="0"/>
      <w:marRight w:val="0"/>
      <w:marTop w:val="0"/>
      <w:marBottom w:val="0"/>
      <w:divBdr>
        <w:top w:val="none" w:sz="0" w:space="0" w:color="auto"/>
        <w:left w:val="none" w:sz="0" w:space="0" w:color="auto"/>
        <w:bottom w:val="none" w:sz="0" w:space="0" w:color="auto"/>
        <w:right w:val="none" w:sz="0" w:space="0" w:color="auto"/>
      </w:divBdr>
    </w:div>
    <w:div w:id="39282126">
      <w:bodyDiv w:val="1"/>
      <w:marLeft w:val="0"/>
      <w:marRight w:val="0"/>
      <w:marTop w:val="0"/>
      <w:marBottom w:val="0"/>
      <w:divBdr>
        <w:top w:val="none" w:sz="0" w:space="0" w:color="auto"/>
        <w:left w:val="none" w:sz="0" w:space="0" w:color="auto"/>
        <w:bottom w:val="none" w:sz="0" w:space="0" w:color="auto"/>
        <w:right w:val="none" w:sz="0" w:space="0" w:color="auto"/>
      </w:divBdr>
      <w:divsChild>
        <w:div w:id="1526557003">
          <w:marLeft w:val="0"/>
          <w:marRight w:val="0"/>
          <w:marTop w:val="0"/>
          <w:marBottom w:val="0"/>
          <w:divBdr>
            <w:top w:val="none" w:sz="0" w:space="0" w:color="auto"/>
            <w:left w:val="none" w:sz="0" w:space="0" w:color="auto"/>
            <w:bottom w:val="none" w:sz="0" w:space="0" w:color="auto"/>
            <w:right w:val="none" w:sz="0" w:space="0" w:color="auto"/>
          </w:divBdr>
          <w:divsChild>
            <w:div w:id="1688868938">
              <w:marLeft w:val="0"/>
              <w:marRight w:val="0"/>
              <w:marTop w:val="0"/>
              <w:marBottom w:val="0"/>
              <w:divBdr>
                <w:top w:val="none" w:sz="0" w:space="0" w:color="auto"/>
                <w:left w:val="none" w:sz="0" w:space="0" w:color="auto"/>
                <w:bottom w:val="none" w:sz="0" w:space="0" w:color="auto"/>
                <w:right w:val="none" w:sz="0" w:space="0" w:color="auto"/>
              </w:divBdr>
              <w:divsChild>
                <w:div w:id="493181027">
                  <w:marLeft w:val="0"/>
                  <w:marRight w:val="0"/>
                  <w:marTop w:val="0"/>
                  <w:marBottom w:val="0"/>
                  <w:divBdr>
                    <w:top w:val="none" w:sz="0" w:space="0" w:color="auto"/>
                    <w:left w:val="none" w:sz="0" w:space="0" w:color="auto"/>
                    <w:bottom w:val="none" w:sz="0" w:space="0" w:color="auto"/>
                    <w:right w:val="none" w:sz="0" w:space="0" w:color="auto"/>
                  </w:divBdr>
                  <w:divsChild>
                    <w:div w:id="629825630">
                      <w:marLeft w:val="0"/>
                      <w:marRight w:val="0"/>
                      <w:marTop w:val="0"/>
                      <w:marBottom w:val="0"/>
                      <w:divBdr>
                        <w:top w:val="none" w:sz="0" w:space="0" w:color="auto"/>
                        <w:left w:val="none" w:sz="0" w:space="0" w:color="auto"/>
                        <w:bottom w:val="none" w:sz="0" w:space="0" w:color="auto"/>
                        <w:right w:val="none" w:sz="0" w:space="0" w:color="auto"/>
                      </w:divBdr>
                      <w:divsChild>
                        <w:div w:id="1269005642">
                          <w:marLeft w:val="0"/>
                          <w:marRight w:val="0"/>
                          <w:marTop w:val="0"/>
                          <w:marBottom w:val="0"/>
                          <w:divBdr>
                            <w:top w:val="none" w:sz="0" w:space="0" w:color="auto"/>
                            <w:left w:val="none" w:sz="0" w:space="0" w:color="auto"/>
                            <w:bottom w:val="none" w:sz="0" w:space="0" w:color="auto"/>
                            <w:right w:val="none" w:sz="0" w:space="0" w:color="auto"/>
                          </w:divBdr>
                          <w:divsChild>
                            <w:div w:id="1594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7714">
      <w:bodyDiv w:val="1"/>
      <w:marLeft w:val="0"/>
      <w:marRight w:val="0"/>
      <w:marTop w:val="0"/>
      <w:marBottom w:val="0"/>
      <w:divBdr>
        <w:top w:val="none" w:sz="0" w:space="0" w:color="auto"/>
        <w:left w:val="none" w:sz="0" w:space="0" w:color="auto"/>
        <w:bottom w:val="none" w:sz="0" w:space="0" w:color="auto"/>
        <w:right w:val="none" w:sz="0" w:space="0" w:color="auto"/>
      </w:divBdr>
    </w:div>
    <w:div w:id="126969485">
      <w:bodyDiv w:val="1"/>
      <w:marLeft w:val="0"/>
      <w:marRight w:val="0"/>
      <w:marTop w:val="0"/>
      <w:marBottom w:val="0"/>
      <w:divBdr>
        <w:top w:val="none" w:sz="0" w:space="0" w:color="auto"/>
        <w:left w:val="none" w:sz="0" w:space="0" w:color="auto"/>
        <w:bottom w:val="none" w:sz="0" w:space="0" w:color="auto"/>
        <w:right w:val="none" w:sz="0" w:space="0" w:color="auto"/>
      </w:divBdr>
      <w:divsChild>
        <w:div w:id="234751951">
          <w:marLeft w:val="0"/>
          <w:marRight w:val="0"/>
          <w:marTop w:val="0"/>
          <w:marBottom w:val="0"/>
          <w:divBdr>
            <w:top w:val="none" w:sz="0" w:space="0" w:color="auto"/>
            <w:left w:val="none" w:sz="0" w:space="0" w:color="auto"/>
            <w:bottom w:val="none" w:sz="0" w:space="0" w:color="auto"/>
            <w:right w:val="none" w:sz="0" w:space="0" w:color="auto"/>
          </w:divBdr>
          <w:divsChild>
            <w:div w:id="127094847">
              <w:marLeft w:val="0"/>
              <w:marRight w:val="0"/>
              <w:marTop w:val="0"/>
              <w:marBottom w:val="0"/>
              <w:divBdr>
                <w:top w:val="none" w:sz="0" w:space="0" w:color="auto"/>
                <w:left w:val="none" w:sz="0" w:space="0" w:color="auto"/>
                <w:bottom w:val="none" w:sz="0" w:space="0" w:color="auto"/>
                <w:right w:val="none" w:sz="0" w:space="0" w:color="auto"/>
              </w:divBdr>
              <w:divsChild>
                <w:div w:id="2063478841">
                  <w:marLeft w:val="0"/>
                  <w:marRight w:val="0"/>
                  <w:marTop w:val="0"/>
                  <w:marBottom w:val="0"/>
                  <w:divBdr>
                    <w:top w:val="none" w:sz="0" w:space="0" w:color="auto"/>
                    <w:left w:val="none" w:sz="0" w:space="0" w:color="auto"/>
                    <w:bottom w:val="none" w:sz="0" w:space="0" w:color="auto"/>
                    <w:right w:val="none" w:sz="0" w:space="0" w:color="auto"/>
                  </w:divBdr>
                  <w:divsChild>
                    <w:div w:id="1273587349">
                      <w:marLeft w:val="0"/>
                      <w:marRight w:val="0"/>
                      <w:marTop w:val="0"/>
                      <w:marBottom w:val="0"/>
                      <w:divBdr>
                        <w:top w:val="none" w:sz="0" w:space="0" w:color="auto"/>
                        <w:left w:val="none" w:sz="0" w:space="0" w:color="auto"/>
                        <w:bottom w:val="none" w:sz="0" w:space="0" w:color="auto"/>
                        <w:right w:val="none" w:sz="0" w:space="0" w:color="auto"/>
                      </w:divBdr>
                      <w:divsChild>
                        <w:div w:id="1820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797">
      <w:bodyDiv w:val="1"/>
      <w:marLeft w:val="0"/>
      <w:marRight w:val="0"/>
      <w:marTop w:val="0"/>
      <w:marBottom w:val="0"/>
      <w:divBdr>
        <w:top w:val="none" w:sz="0" w:space="0" w:color="auto"/>
        <w:left w:val="none" w:sz="0" w:space="0" w:color="auto"/>
        <w:bottom w:val="none" w:sz="0" w:space="0" w:color="auto"/>
        <w:right w:val="none" w:sz="0" w:space="0" w:color="auto"/>
      </w:divBdr>
      <w:divsChild>
        <w:div w:id="1755008149">
          <w:marLeft w:val="0"/>
          <w:marRight w:val="0"/>
          <w:marTop w:val="0"/>
          <w:marBottom w:val="0"/>
          <w:divBdr>
            <w:top w:val="none" w:sz="0" w:space="0" w:color="auto"/>
            <w:left w:val="none" w:sz="0" w:space="0" w:color="auto"/>
            <w:bottom w:val="none" w:sz="0" w:space="0" w:color="auto"/>
            <w:right w:val="none" w:sz="0" w:space="0" w:color="auto"/>
          </w:divBdr>
          <w:divsChild>
            <w:div w:id="1378819307">
              <w:marLeft w:val="0"/>
              <w:marRight w:val="0"/>
              <w:marTop w:val="0"/>
              <w:marBottom w:val="0"/>
              <w:divBdr>
                <w:top w:val="none" w:sz="0" w:space="0" w:color="auto"/>
                <w:left w:val="none" w:sz="0" w:space="0" w:color="auto"/>
                <w:bottom w:val="none" w:sz="0" w:space="0" w:color="auto"/>
                <w:right w:val="none" w:sz="0" w:space="0" w:color="auto"/>
              </w:divBdr>
              <w:divsChild>
                <w:div w:id="1076174348">
                  <w:marLeft w:val="0"/>
                  <w:marRight w:val="0"/>
                  <w:marTop w:val="0"/>
                  <w:marBottom w:val="0"/>
                  <w:divBdr>
                    <w:top w:val="none" w:sz="0" w:space="0" w:color="auto"/>
                    <w:left w:val="none" w:sz="0" w:space="0" w:color="auto"/>
                    <w:bottom w:val="none" w:sz="0" w:space="0" w:color="auto"/>
                    <w:right w:val="none" w:sz="0" w:space="0" w:color="auto"/>
                  </w:divBdr>
                  <w:divsChild>
                    <w:div w:id="1488787239">
                      <w:marLeft w:val="-225"/>
                      <w:marRight w:val="-225"/>
                      <w:marTop w:val="0"/>
                      <w:marBottom w:val="0"/>
                      <w:divBdr>
                        <w:top w:val="none" w:sz="0" w:space="0" w:color="auto"/>
                        <w:left w:val="none" w:sz="0" w:space="0" w:color="auto"/>
                        <w:bottom w:val="none" w:sz="0" w:space="0" w:color="auto"/>
                        <w:right w:val="none" w:sz="0" w:space="0" w:color="auto"/>
                      </w:divBdr>
                      <w:divsChild>
                        <w:div w:id="83428878">
                          <w:marLeft w:val="0"/>
                          <w:marRight w:val="0"/>
                          <w:marTop w:val="0"/>
                          <w:marBottom w:val="0"/>
                          <w:divBdr>
                            <w:top w:val="none" w:sz="0" w:space="0" w:color="auto"/>
                            <w:left w:val="none" w:sz="0" w:space="0" w:color="auto"/>
                            <w:bottom w:val="none" w:sz="0" w:space="0" w:color="auto"/>
                            <w:right w:val="none" w:sz="0" w:space="0" w:color="auto"/>
                          </w:divBdr>
                          <w:divsChild>
                            <w:div w:id="12600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7740">
      <w:bodyDiv w:val="1"/>
      <w:marLeft w:val="0"/>
      <w:marRight w:val="0"/>
      <w:marTop w:val="0"/>
      <w:marBottom w:val="0"/>
      <w:divBdr>
        <w:top w:val="none" w:sz="0" w:space="0" w:color="auto"/>
        <w:left w:val="none" w:sz="0" w:space="0" w:color="auto"/>
        <w:bottom w:val="none" w:sz="0" w:space="0" w:color="auto"/>
        <w:right w:val="none" w:sz="0" w:space="0" w:color="auto"/>
      </w:divBdr>
      <w:divsChild>
        <w:div w:id="1463228922">
          <w:marLeft w:val="0"/>
          <w:marRight w:val="0"/>
          <w:marTop w:val="0"/>
          <w:marBottom w:val="0"/>
          <w:divBdr>
            <w:top w:val="none" w:sz="0" w:space="0" w:color="auto"/>
            <w:left w:val="none" w:sz="0" w:space="0" w:color="auto"/>
            <w:bottom w:val="none" w:sz="0" w:space="0" w:color="auto"/>
            <w:right w:val="none" w:sz="0" w:space="0" w:color="auto"/>
          </w:divBdr>
          <w:divsChild>
            <w:div w:id="2072538535">
              <w:marLeft w:val="0"/>
              <w:marRight w:val="0"/>
              <w:marTop w:val="0"/>
              <w:marBottom w:val="0"/>
              <w:divBdr>
                <w:top w:val="none" w:sz="0" w:space="0" w:color="auto"/>
                <w:left w:val="none" w:sz="0" w:space="0" w:color="auto"/>
                <w:bottom w:val="none" w:sz="0" w:space="0" w:color="auto"/>
                <w:right w:val="none" w:sz="0" w:space="0" w:color="auto"/>
              </w:divBdr>
              <w:divsChild>
                <w:div w:id="1321230966">
                  <w:marLeft w:val="0"/>
                  <w:marRight w:val="0"/>
                  <w:marTop w:val="0"/>
                  <w:marBottom w:val="0"/>
                  <w:divBdr>
                    <w:top w:val="none" w:sz="0" w:space="0" w:color="auto"/>
                    <w:left w:val="none" w:sz="0" w:space="0" w:color="auto"/>
                    <w:bottom w:val="none" w:sz="0" w:space="0" w:color="auto"/>
                    <w:right w:val="none" w:sz="0" w:space="0" w:color="auto"/>
                  </w:divBdr>
                  <w:divsChild>
                    <w:div w:id="1493520652">
                      <w:marLeft w:val="-225"/>
                      <w:marRight w:val="-225"/>
                      <w:marTop w:val="0"/>
                      <w:marBottom w:val="0"/>
                      <w:divBdr>
                        <w:top w:val="none" w:sz="0" w:space="0" w:color="auto"/>
                        <w:left w:val="none" w:sz="0" w:space="0" w:color="auto"/>
                        <w:bottom w:val="none" w:sz="0" w:space="0" w:color="auto"/>
                        <w:right w:val="none" w:sz="0" w:space="0" w:color="auto"/>
                      </w:divBdr>
                      <w:divsChild>
                        <w:div w:id="1765610049">
                          <w:marLeft w:val="0"/>
                          <w:marRight w:val="0"/>
                          <w:marTop w:val="0"/>
                          <w:marBottom w:val="0"/>
                          <w:divBdr>
                            <w:top w:val="none" w:sz="0" w:space="0" w:color="auto"/>
                            <w:left w:val="none" w:sz="0" w:space="0" w:color="auto"/>
                            <w:bottom w:val="none" w:sz="0" w:space="0" w:color="auto"/>
                            <w:right w:val="none" w:sz="0" w:space="0" w:color="auto"/>
                          </w:divBdr>
                          <w:divsChild>
                            <w:div w:id="20861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2254">
      <w:bodyDiv w:val="1"/>
      <w:marLeft w:val="0"/>
      <w:marRight w:val="0"/>
      <w:marTop w:val="0"/>
      <w:marBottom w:val="0"/>
      <w:divBdr>
        <w:top w:val="none" w:sz="0" w:space="0" w:color="auto"/>
        <w:left w:val="none" w:sz="0" w:space="0" w:color="auto"/>
        <w:bottom w:val="none" w:sz="0" w:space="0" w:color="auto"/>
        <w:right w:val="none" w:sz="0" w:space="0" w:color="auto"/>
      </w:divBdr>
    </w:div>
    <w:div w:id="239099329">
      <w:bodyDiv w:val="1"/>
      <w:marLeft w:val="0"/>
      <w:marRight w:val="0"/>
      <w:marTop w:val="0"/>
      <w:marBottom w:val="0"/>
      <w:divBdr>
        <w:top w:val="none" w:sz="0" w:space="0" w:color="auto"/>
        <w:left w:val="none" w:sz="0" w:space="0" w:color="auto"/>
        <w:bottom w:val="none" w:sz="0" w:space="0" w:color="auto"/>
        <w:right w:val="none" w:sz="0" w:space="0" w:color="auto"/>
      </w:divBdr>
    </w:div>
    <w:div w:id="264506739">
      <w:bodyDiv w:val="1"/>
      <w:marLeft w:val="0"/>
      <w:marRight w:val="0"/>
      <w:marTop w:val="0"/>
      <w:marBottom w:val="0"/>
      <w:divBdr>
        <w:top w:val="none" w:sz="0" w:space="0" w:color="auto"/>
        <w:left w:val="none" w:sz="0" w:space="0" w:color="auto"/>
        <w:bottom w:val="none" w:sz="0" w:space="0" w:color="auto"/>
        <w:right w:val="none" w:sz="0" w:space="0" w:color="auto"/>
      </w:divBdr>
    </w:div>
    <w:div w:id="348652517">
      <w:bodyDiv w:val="1"/>
      <w:marLeft w:val="0"/>
      <w:marRight w:val="0"/>
      <w:marTop w:val="0"/>
      <w:marBottom w:val="0"/>
      <w:divBdr>
        <w:top w:val="none" w:sz="0" w:space="0" w:color="auto"/>
        <w:left w:val="none" w:sz="0" w:space="0" w:color="auto"/>
        <w:bottom w:val="none" w:sz="0" w:space="0" w:color="auto"/>
        <w:right w:val="none" w:sz="0" w:space="0" w:color="auto"/>
      </w:divBdr>
    </w:div>
    <w:div w:id="366025329">
      <w:bodyDiv w:val="1"/>
      <w:marLeft w:val="0"/>
      <w:marRight w:val="0"/>
      <w:marTop w:val="0"/>
      <w:marBottom w:val="0"/>
      <w:divBdr>
        <w:top w:val="none" w:sz="0" w:space="0" w:color="auto"/>
        <w:left w:val="none" w:sz="0" w:space="0" w:color="auto"/>
        <w:bottom w:val="none" w:sz="0" w:space="0" w:color="auto"/>
        <w:right w:val="none" w:sz="0" w:space="0" w:color="auto"/>
      </w:divBdr>
    </w:div>
    <w:div w:id="370150729">
      <w:bodyDiv w:val="1"/>
      <w:marLeft w:val="0"/>
      <w:marRight w:val="0"/>
      <w:marTop w:val="0"/>
      <w:marBottom w:val="0"/>
      <w:divBdr>
        <w:top w:val="none" w:sz="0" w:space="0" w:color="auto"/>
        <w:left w:val="none" w:sz="0" w:space="0" w:color="auto"/>
        <w:bottom w:val="none" w:sz="0" w:space="0" w:color="auto"/>
        <w:right w:val="none" w:sz="0" w:space="0" w:color="auto"/>
      </w:divBdr>
      <w:divsChild>
        <w:div w:id="61879707">
          <w:marLeft w:val="0"/>
          <w:marRight w:val="0"/>
          <w:marTop w:val="0"/>
          <w:marBottom w:val="0"/>
          <w:divBdr>
            <w:top w:val="none" w:sz="0" w:space="0" w:color="auto"/>
            <w:left w:val="none" w:sz="0" w:space="0" w:color="auto"/>
            <w:bottom w:val="none" w:sz="0" w:space="0" w:color="auto"/>
            <w:right w:val="none" w:sz="0" w:space="0" w:color="auto"/>
          </w:divBdr>
          <w:divsChild>
            <w:div w:id="1610429811">
              <w:marLeft w:val="0"/>
              <w:marRight w:val="0"/>
              <w:marTop w:val="0"/>
              <w:marBottom w:val="0"/>
              <w:divBdr>
                <w:top w:val="none" w:sz="0" w:space="0" w:color="auto"/>
                <w:left w:val="none" w:sz="0" w:space="0" w:color="auto"/>
                <w:bottom w:val="none" w:sz="0" w:space="0" w:color="auto"/>
                <w:right w:val="none" w:sz="0" w:space="0" w:color="auto"/>
              </w:divBdr>
              <w:divsChild>
                <w:div w:id="1942685242">
                  <w:marLeft w:val="0"/>
                  <w:marRight w:val="0"/>
                  <w:marTop w:val="0"/>
                  <w:marBottom w:val="0"/>
                  <w:divBdr>
                    <w:top w:val="none" w:sz="0" w:space="0" w:color="auto"/>
                    <w:left w:val="none" w:sz="0" w:space="0" w:color="auto"/>
                    <w:bottom w:val="none" w:sz="0" w:space="0" w:color="auto"/>
                    <w:right w:val="none" w:sz="0" w:space="0" w:color="auto"/>
                  </w:divBdr>
                  <w:divsChild>
                    <w:div w:id="1954048561">
                      <w:marLeft w:val="-225"/>
                      <w:marRight w:val="-225"/>
                      <w:marTop w:val="0"/>
                      <w:marBottom w:val="0"/>
                      <w:divBdr>
                        <w:top w:val="none" w:sz="0" w:space="0" w:color="auto"/>
                        <w:left w:val="none" w:sz="0" w:space="0" w:color="auto"/>
                        <w:bottom w:val="none" w:sz="0" w:space="0" w:color="auto"/>
                        <w:right w:val="none" w:sz="0" w:space="0" w:color="auto"/>
                      </w:divBdr>
                      <w:divsChild>
                        <w:div w:id="36708000">
                          <w:marLeft w:val="0"/>
                          <w:marRight w:val="0"/>
                          <w:marTop w:val="0"/>
                          <w:marBottom w:val="0"/>
                          <w:divBdr>
                            <w:top w:val="none" w:sz="0" w:space="0" w:color="auto"/>
                            <w:left w:val="none" w:sz="0" w:space="0" w:color="auto"/>
                            <w:bottom w:val="none" w:sz="0" w:space="0" w:color="auto"/>
                            <w:right w:val="none" w:sz="0" w:space="0" w:color="auto"/>
                          </w:divBdr>
                          <w:divsChild>
                            <w:div w:id="676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5381">
      <w:bodyDiv w:val="1"/>
      <w:marLeft w:val="0"/>
      <w:marRight w:val="0"/>
      <w:marTop w:val="150"/>
      <w:marBottom w:val="150"/>
      <w:divBdr>
        <w:top w:val="none" w:sz="0" w:space="0" w:color="auto"/>
        <w:left w:val="none" w:sz="0" w:space="0" w:color="auto"/>
        <w:bottom w:val="none" w:sz="0" w:space="0" w:color="auto"/>
        <w:right w:val="none" w:sz="0" w:space="0" w:color="auto"/>
      </w:divBdr>
      <w:divsChild>
        <w:div w:id="1067924928">
          <w:marLeft w:val="0"/>
          <w:marRight w:val="0"/>
          <w:marTop w:val="0"/>
          <w:marBottom w:val="0"/>
          <w:divBdr>
            <w:top w:val="none" w:sz="0" w:space="0" w:color="auto"/>
            <w:left w:val="none" w:sz="0" w:space="0" w:color="auto"/>
            <w:bottom w:val="none" w:sz="0" w:space="0" w:color="auto"/>
            <w:right w:val="none" w:sz="0" w:space="0" w:color="auto"/>
          </w:divBdr>
          <w:divsChild>
            <w:div w:id="1667006444">
              <w:marLeft w:val="3720"/>
              <w:marRight w:val="0"/>
              <w:marTop w:val="0"/>
              <w:marBottom w:val="0"/>
              <w:divBdr>
                <w:top w:val="none" w:sz="0" w:space="0" w:color="auto"/>
                <w:left w:val="none" w:sz="0" w:space="0" w:color="auto"/>
                <w:bottom w:val="none" w:sz="0" w:space="0" w:color="auto"/>
                <w:right w:val="none" w:sz="0" w:space="0" w:color="auto"/>
              </w:divBdr>
              <w:divsChild>
                <w:div w:id="611938171">
                  <w:marLeft w:val="0"/>
                  <w:marRight w:val="0"/>
                  <w:marTop w:val="0"/>
                  <w:marBottom w:val="0"/>
                  <w:divBdr>
                    <w:top w:val="none" w:sz="0" w:space="0" w:color="auto"/>
                    <w:left w:val="none" w:sz="0" w:space="0" w:color="auto"/>
                    <w:bottom w:val="none" w:sz="0" w:space="0" w:color="auto"/>
                    <w:right w:val="none" w:sz="0" w:space="0" w:color="auto"/>
                  </w:divBdr>
                  <w:divsChild>
                    <w:div w:id="428431575">
                      <w:marLeft w:val="0"/>
                      <w:marRight w:val="0"/>
                      <w:marTop w:val="120"/>
                      <w:marBottom w:val="0"/>
                      <w:divBdr>
                        <w:top w:val="none" w:sz="0" w:space="0" w:color="auto"/>
                        <w:left w:val="none" w:sz="0" w:space="0" w:color="auto"/>
                        <w:bottom w:val="none" w:sz="0" w:space="0" w:color="auto"/>
                        <w:right w:val="none" w:sz="0" w:space="0" w:color="auto"/>
                      </w:divBdr>
                    </w:div>
                    <w:div w:id="137896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27387867">
      <w:bodyDiv w:val="1"/>
      <w:marLeft w:val="0"/>
      <w:marRight w:val="0"/>
      <w:marTop w:val="0"/>
      <w:marBottom w:val="0"/>
      <w:divBdr>
        <w:top w:val="none" w:sz="0" w:space="0" w:color="auto"/>
        <w:left w:val="none" w:sz="0" w:space="0" w:color="auto"/>
        <w:bottom w:val="none" w:sz="0" w:space="0" w:color="auto"/>
        <w:right w:val="none" w:sz="0" w:space="0" w:color="auto"/>
      </w:divBdr>
      <w:divsChild>
        <w:div w:id="170532216">
          <w:marLeft w:val="0"/>
          <w:marRight w:val="0"/>
          <w:marTop w:val="0"/>
          <w:marBottom w:val="0"/>
          <w:divBdr>
            <w:top w:val="none" w:sz="0" w:space="0" w:color="auto"/>
            <w:left w:val="none" w:sz="0" w:space="0" w:color="auto"/>
            <w:bottom w:val="none" w:sz="0" w:space="0" w:color="auto"/>
            <w:right w:val="none" w:sz="0" w:space="0" w:color="auto"/>
          </w:divBdr>
          <w:divsChild>
            <w:div w:id="1509563594">
              <w:marLeft w:val="0"/>
              <w:marRight w:val="0"/>
              <w:marTop w:val="0"/>
              <w:marBottom w:val="0"/>
              <w:divBdr>
                <w:top w:val="none" w:sz="0" w:space="0" w:color="auto"/>
                <w:left w:val="none" w:sz="0" w:space="0" w:color="auto"/>
                <w:bottom w:val="none" w:sz="0" w:space="0" w:color="auto"/>
                <w:right w:val="none" w:sz="0" w:space="0" w:color="auto"/>
              </w:divBdr>
              <w:divsChild>
                <w:div w:id="855268794">
                  <w:marLeft w:val="-123"/>
                  <w:marRight w:val="-123"/>
                  <w:marTop w:val="0"/>
                  <w:marBottom w:val="480"/>
                  <w:divBdr>
                    <w:top w:val="none" w:sz="0" w:space="0" w:color="auto"/>
                    <w:left w:val="none" w:sz="0" w:space="0" w:color="auto"/>
                    <w:bottom w:val="none" w:sz="0" w:space="0" w:color="auto"/>
                    <w:right w:val="none" w:sz="0" w:space="0" w:color="auto"/>
                  </w:divBdr>
                  <w:divsChild>
                    <w:div w:id="1522746714">
                      <w:marLeft w:val="0"/>
                      <w:marRight w:val="0"/>
                      <w:marTop w:val="0"/>
                      <w:marBottom w:val="0"/>
                      <w:divBdr>
                        <w:top w:val="none" w:sz="0" w:space="0" w:color="auto"/>
                        <w:left w:val="none" w:sz="0" w:space="0" w:color="auto"/>
                        <w:bottom w:val="none" w:sz="0" w:space="0" w:color="auto"/>
                        <w:right w:val="none" w:sz="0" w:space="0" w:color="auto"/>
                      </w:divBdr>
                      <w:divsChild>
                        <w:div w:id="1037662432">
                          <w:marLeft w:val="0"/>
                          <w:marRight w:val="0"/>
                          <w:marTop w:val="0"/>
                          <w:marBottom w:val="0"/>
                          <w:divBdr>
                            <w:top w:val="none" w:sz="0" w:space="0" w:color="auto"/>
                            <w:left w:val="none" w:sz="0" w:space="0" w:color="auto"/>
                            <w:bottom w:val="none" w:sz="0" w:space="0" w:color="auto"/>
                            <w:right w:val="none" w:sz="0" w:space="0" w:color="auto"/>
                          </w:divBdr>
                          <w:divsChild>
                            <w:div w:id="1869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412963">
      <w:bodyDiv w:val="1"/>
      <w:marLeft w:val="0"/>
      <w:marRight w:val="0"/>
      <w:marTop w:val="0"/>
      <w:marBottom w:val="0"/>
      <w:divBdr>
        <w:top w:val="none" w:sz="0" w:space="0" w:color="auto"/>
        <w:left w:val="none" w:sz="0" w:space="0" w:color="auto"/>
        <w:bottom w:val="none" w:sz="0" w:space="0" w:color="auto"/>
        <w:right w:val="none" w:sz="0" w:space="0" w:color="auto"/>
      </w:divBdr>
      <w:divsChild>
        <w:div w:id="657004690">
          <w:marLeft w:val="30"/>
          <w:marRight w:val="30"/>
          <w:marTop w:val="0"/>
          <w:marBottom w:val="0"/>
          <w:divBdr>
            <w:top w:val="none" w:sz="0" w:space="0" w:color="auto"/>
            <w:left w:val="none" w:sz="0" w:space="0" w:color="auto"/>
            <w:bottom w:val="none" w:sz="0" w:space="0" w:color="auto"/>
            <w:right w:val="none" w:sz="0" w:space="0" w:color="auto"/>
          </w:divBdr>
        </w:div>
      </w:divsChild>
    </w:div>
    <w:div w:id="485782317">
      <w:bodyDiv w:val="1"/>
      <w:marLeft w:val="0"/>
      <w:marRight w:val="0"/>
      <w:marTop w:val="0"/>
      <w:marBottom w:val="0"/>
      <w:divBdr>
        <w:top w:val="none" w:sz="0" w:space="0" w:color="auto"/>
        <w:left w:val="none" w:sz="0" w:space="0" w:color="auto"/>
        <w:bottom w:val="none" w:sz="0" w:space="0" w:color="auto"/>
        <w:right w:val="none" w:sz="0" w:space="0" w:color="auto"/>
      </w:divBdr>
      <w:divsChild>
        <w:div w:id="1876963315">
          <w:marLeft w:val="0"/>
          <w:marRight w:val="0"/>
          <w:marTop w:val="0"/>
          <w:marBottom w:val="0"/>
          <w:divBdr>
            <w:top w:val="none" w:sz="0" w:space="0" w:color="auto"/>
            <w:left w:val="none" w:sz="0" w:space="0" w:color="auto"/>
            <w:bottom w:val="none" w:sz="0" w:space="0" w:color="auto"/>
            <w:right w:val="none" w:sz="0" w:space="0" w:color="auto"/>
          </w:divBdr>
          <w:divsChild>
            <w:div w:id="973676793">
              <w:marLeft w:val="0"/>
              <w:marRight w:val="0"/>
              <w:marTop w:val="0"/>
              <w:marBottom w:val="0"/>
              <w:divBdr>
                <w:top w:val="none" w:sz="0" w:space="0" w:color="auto"/>
                <w:left w:val="none" w:sz="0" w:space="0" w:color="auto"/>
                <w:bottom w:val="none" w:sz="0" w:space="0" w:color="auto"/>
                <w:right w:val="none" w:sz="0" w:space="0" w:color="auto"/>
              </w:divBdr>
              <w:divsChild>
                <w:div w:id="1084032859">
                  <w:marLeft w:val="0"/>
                  <w:marRight w:val="0"/>
                  <w:marTop w:val="0"/>
                  <w:marBottom w:val="0"/>
                  <w:divBdr>
                    <w:top w:val="none" w:sz="0" w:space="0" w:color="auto"/>
                    <w:left w:val="none" w:sz="0" w:space="0" w:color="auto"/>
                    <w:bottom w:val="none" w:sz="0" w:space="0" w:color="auto"/>
                    <w:right w:val="none" w:sz="0" w:space="0" w:color="auto"/>
                  </w:divBdr>
                  <w:divsChild>
                    <w:div w:id="1877815845">
                      <w:marLeft w:val="-225"/>
                      <w:marRight w:val="-225"/>
                      <w:marTop w:val="0"/>
                      <w:marBottom w:val="0"/>
                      <w:divBdr>
                        <w:top w:val="none" w:sz="0" w:space="0" w:color="auto"/>
                        <w:left w:val="none" w:sz="0" w:space="0" w:color="auto"/>
                        <w:bottom w:val="none" w:sz="0" w:space="0" w:color="auto"/>
                        <w:right w:val="none" w:sz="0" w:space="0" w:color="auto"/>
                      </w:divBdr>
                      <w:divsChild>
                        <w:div w:id="105664283">
                          <w:marLeft w:val="0"/>
                          <w:marRight w:val="0"/>
                          <w:marTop w:val="0"/>
                          <w:marBottom w:val="0"/>
                          <w:divBdr>
                            <w:top w:val="none" w:sz="0" w:space="0" w:color="auto"/>
                            <w:left w:val="none" w:sz="0" w:space="0" w:color="auto"/>
                            <w:bottom w:val="none" w:sz="0" w:space="0" w:color="auto"/>
                            <w:right w:val="none" w:sz="0" w:space="0" w:color="auto"/>
                          </w:divBdr>
                          <w:divsChild>
                            <w:div w:id="13912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19618">
      <w:bodyDiv w:val="1"/>
      <w:marLeft w:val="0"/>
      <w:marRight w:val="0"/>
      <w:marTop w:val="0"/>
      <w:marBottom w:val="0"/>
      <w:divBdr>
        <w:top w:val="none" w:sz="0" w:space="0" w:color="auto"/>
        <w:left w:val="none" w:sz="0" w:space="0" w:color="auto"/>
        <w:bottom w:val="none" w:sz="0" w:space="0" w:color="auto"/>
        <w:right w:val="none" w:sz="0" w:space="0" w:color="auto"/>
      </w:divBdr>
    </w:div>
    <w:div w:id="553079052">
      <w:bodyDiv w:val="1"/>
      <w:marLeft w:val="0"/>
      <w:marRight w:val="0"/>
      <w:marTop w:val="0"/>
      <w:marBottom w:val="0"/>
      <w:divBdr>
        <w:top w:val="none" w:sz="0" w:space="0" w:color="auto"/>
        <w:left w:val="none" w:sz="0" w:space="0" w:color="auto"/>
        <w:bottom w:val="none" w:sz="0" w:space="0" w:color="auto"/>
        <w:right w:val="none" w:sz="0" w:space="0" w:color="auto"/>
      </w:divBdr>
    </w:div>
    <w:div w:id="555706250">
      <w:bodyDiv w:val="1"/>
      <w:marLeft w:val="0"/>
      <w:marRight w:val="0"/>
      <w:marTop w:val="0"/>
      <w:marBottom w:val="0"/>
      <w:divBdr>
        <w:top w:val="none" w:sz="0" w:space="0" w:color="auto"/>
        <w:left w:val="none" w:sz="0" w:space="0" w:color="auto"/>
        <w:bottom w:val="none" w:sz="0" w:space="0" w:color="auto"/>
        <w:right w:val="none" w:sz="0" w:space="0" w:color="auto"/>
      </w:divBdr>
    </w:div>
    <w:div w:id="557983708">
      <w:bodyDiv w:val="1"/>
      <w:marLeft w:val="0"/>
      <w:marRight w:val="0"/>
      <w:marTop w:val="0"/>
      <w:marBottom w:val="0"/>
      <w:divBdr>
        <w:top w:val="none" w:sz="0" w:space="0" w:color="auto"/>
        <w:left w:val="none" w:sz="0" w:space="0" w:color="auto"/>
        <w:bottom w:val="none" w:sz="0" w:space="0" w:color="auto"/>
        <w:right w:val="none" w:sz="0" w:space="0" w:color="auto"/>
      </w:divBdr>
    </w:div>
    <w:div w:id="565260463">
      <w:bodyDiv w:val="1"/>
      <w:marLeft w:val="0"/>
      <w:marRight w:val="0"/>
      <w:marTop w:val="0"/>
      <w:marBottom w:val="0"/>
      <w:divBdr>
        <w:top w:val="none" w:sz="0" w:space="0" w:color="auto"/>
        <w:left w:val="none" w:sz="0" w:space="0" w:color="auto"/>
        <w:bottom w:val="none" w:sz="0" w:space="0" w:color="auto"/>
        <w:right w:val="none" w:sz="0" w:space="0" w:color="auto"/>
      </w:divBdr>
      <w:divsChild>
        <w:div w:id="2054502713">
          <w:marLeft w:val="0"/>
          <w:marRight w:val="0"/>
          <w:marTop w:val="0"/>
          <w:marBottom w:val="0"/>
          <w:divBdr>
            <w:top w:val="none" w:sz="0" w:space="0" w:color="auto"/>
            <w:left w:val="none" w:sz="0" w:space="0" w:color="auto"/>
            <w:bottom w:val="none" w:sz="0" w:space="0" w:color="auto"/>
            <w:right w:val="none" w:sz="0" w:space="0" w:color="auto"/>
          </w:divBdr>
        </w:div>
        <w:div w:id="1282348645">
          <w:marLeft w:val="0"/>
          <w:marRight w:val="0"/>
          <w:marTop w:val="0"/>
          <w:marBottom w:val="0"/>
          <w:divBdr>
            <w:top w:val="none" w:sz="0" w:space="0" w:color="auto"/>
            <w:left w:val="none" w:sz="0" w:space="0" w:color="auto"/>
            <w:bottom w:val="none" w:sz="0" w:space="0" w:color="auto"/>
            <w:right w:val="none" w:sz="0" w:space="0" w:color="auto"/>
          </w:divBdr>
        </w:div>
        <w:div w:id="579100059">
          <w:marLeft w:val="0"/>
          <w:marRight w:val="0"/>
          <w:marTop w:val="0"/>
          <w:marBottom w:val="0"/>
          <w:divBdr>
            <w:top w:val="none" w:sz="0" w:space="0" w:color="auto"/>
            <w:left w:val="none" w:sz="0" w:space="0" w:color="auto"/>
            <w:bottom w:val="none" w:sz="0" w:space="0" w:color="auto"/>
            <w:right w:val="none" w:sz="0" w:space="0" w:color="auto"/>
          </w:divBdr>
        </w:div>
        <w:div w:id="910774298">
          <w:marLeft w:val="0"/>
          <w:marRight w:val="0"/>
          <w:marTop w:val="0"/>
          <w:marBottom w:val="0"/>
          <w:divBdr>
            <w:top w:val="none" w:sz="0" w:space="0" w:color="auto"/>
            <w:left w:val="none" w:sz="0" w:space="0" w:color="auto"/>
            <w:bottom w:val="none" w:sz="0" w:space="0" w:color="auto"/>
            <w:right w:val="none" w:sz="0" w:space="0" w:color="auto"/>
          </w:divBdr>
        </w:div>
        <w:div w:id="217521770">
          <w:marLeft w:val="0"/>
          <w:marRight w:val="0"/>
          <w:marTop w:val="0"/>
          <w:marBottom w:val="0"/>
          <w:divBdr>
            <w:top w:val="none" w:sz="0" w:space="0" w:color="auto"/>
            <w:left w:val="none" w:sz="0" w:space="0" w:color="auto"/>
            <w:bottom w:val="none" w:sz="0" w:space="0" w:color="auto"/>
            <w:right w:val="none" w:sz="0" w:space="0" w:color="auto"/>
          </w:divBdr>
        </w:div>
        <w:div w:id="1547645674">
          <w:marLeft w:val="0"/>
          <w:marRight w:val="0"/>
          <w:marTop w:val="0"/>
          <w:marBottom w:val="0"/>
          <w:divBdr>
            <w:top w:val="none" w:sz="0" w:space="0" w:color="auto"/>
            <w:left w:val="none" w:sz="0" w:space="0" w:color="auto"/>
            <w:bottom w:val="none" w:sz="0" w:space="0" w:color="auto"/>
            <w:right w:val="none" w:sz="0" w:space="0" w:color="auto"/>
          </w:divBdr>
        </w:div>
        <w:div w:id="1619289872">
          <w:marLeft w:val="0"/>
          <w:marRight w:val="0"/>
          <w:marTop w:val="0"/>
          <w:marBottom w:val="0"/>
          <w:divBdr>
            <w:top w:val="none" w:sz="0" w:space="0" w:color="auto"/>
            <w:left w:val="none" w:sz="0" w:space="0" w:color="auto"/>
            <w:bottom w:val="none" w:sz="0" w:space="0" w:color="auto"/>
            <w:right w:val="none" w:sz="0" w:space="0" w:color="auto"/>
          </w:divBdr>
        </w:div>
        <w:div w:id="2132049646">
          <w:marLeft w:val="0"/>
          <w:marRight w:val="0"/>
          <w:marTop w:val="0"/>
          <w:marBottom w:val="0"/>
          <w:divBdr>
            <w:top w:val="none" w:sz="0" w:space="0" w:color="auto"/>
            <w:left w:val="none" w:sz="0" w:space="0" w:color="auto"/>
            <w:bottom w:val="none" w:sz="0" w:space="0" w:color="auto"/>
            <w:right w:val="none" w:sz="0" w:space="0" w:color="auto"/>
          </w:divBdr>
        </w:div>
        <w:div w:id="347491508">
          <w:marLeft w:val="0"/>
          <w:marRight w:val="0"/>
          <w:marTop w:val="0"/>
          <w:marBottom w:val="0"/>
          <w:divBdr>
            <w:top w:val="none" w:sz="0" w:space="0" w:color="auto"/>
            <w:left w:val="none" w:sz="0" w:space="0" w:color="auto"/>
            <w:bottom w:val="none" w:sz="0" w:space="0" w:color="auto"/>
            <w:right w:val="none" w:sz="0" w:space="0" w:color="auto"/>
          </w:divBdr>
        </w:div>
      </w:divsChild>
    </w:div>
    <w:div w:id="623777274">
      <w:bodyDiv w:val="1"/>
      <w:marLeft w:val="0"/>
      <w:marRight w:val="0"/>
      <w:marTop w:val="0"/>
      <w:marBottom w:val="0"/>
      <w:divBdr>
        <w:top w:val="none" w:sz="0" w:space="0" w:color="auto"/>
        <w:left w:val="none" w:sz="0" w:space="0" w:color="auto"/>
        <w:bottom w:val="none" w:sz="0" w:space="0" w:color="auto"/>
        <w:right w:val="none" w:sz="0" w:space="0" w:color="auto"/>
      </w:divBdr>
    </w:div>
    <w:div w:id="664238995">
      <w:bodyDiv w:val="1"/>
      <w:marLeft w:val="0"/>
      <w:marRight w:val="0"/>
      <w:marTop w:val="0"/>
      <w:marBottom w:val="0"/>
      <w:divBdr>
        <w:top w:val="none" w:sz="0" w:space="0" w:color="auto"/>
        <w:left w:val="none" w:sz="0" w:space="0" w:color="auto"/>
        <w:bottom w:val="none" w:sz="0" w:space="0" w:color="auto"/>
        <w:right w:val="none" w:sz="0" w:space="0" w:color="auto"/>
      </w:divBdr>
    </w:div>
    <w:div w:id="798374251">
      <w:bodyDiv w:val="1"/>
      <w:marLeft w:val="0"/>
      <w:marRight w:val="0"/>
      <w:marTop w:val="0"/>
      <w:marBottom w:val="0"/>
      <w:divBdr>
        <w:top w:val="none" w:sz="0" w:space="0" w:color="auto"/>
        <w:left w:val="none" w:sz="0" w:space="0" w:color="auto"/>
        <w:bottom w:val="none" w:sz="0" w:space="0" w:color="auto"/>
        <w:right w:val="none" w:sz="0" w:space="0" w:color="auto"/>
      </w:divBdr>
    </w:div>
    <w:div w:id="833759915">
      <w:bodyDiv w:val="1"/>
      <w:marLeft w:val="0"/>
      <w:marRight w:val="0"/>
      <w:marTop w:val="0"/>
      <w:marBottom w:val="0"/>
      <w:divBdr>
        <w:top w:val="none" w:sz="0" w:space="0" w:color="auto"/>
        <w:left w:val="none" w:sz="0" w:space="0" w:color="auto"/>
        <w:bottom w:val="none" w:sz="0" w:space="0" w:color="auto"/>
        <w:right w:val="none" w:sz="0" w:space="0" w:color="auto"/>
      </w:divBdr>
    </w:div>
    <w:div w:id="836113508">
      <w:bodyDiv w:val="1"/>
      <w:marLeft w:val="0"/>
      <w:marRight w:val="0"/>
      <w:marTop w:val="0"/>
      <w:marBottom w:val="0"/>
      <w:divBdr>
        <w:top w:val="none" w:sz="0" w:space="0" w:color="auto"/>
        <w:left w:val="none" w:sz="0" w:space="0" w:color="auto"/>
        <w:bottom w:val="none" w:sz="0" w:space="0" w:color="auto"/>
        <w:right w:val="none" w:sz="0" w:space="0" w:color="auto"/>
      </w:divBdr>
    </w:div>
    <w:div w:id="847403013">
      <w:bodyDiv w:val="1"/>
      <w:marLeft w:val="0"/>
      <w:marRight w:val="0"/>
      <w:marTop w:val="0"/>
      <w:marBottom w:val="0"/>
      <w:divBdr>
        <w:top w:val="none" w:sz="0" w:space="0" w:color="auto"/>
        <w:left w:val="none" w:sz="0" w:space="0" w:color="auto"/>
        <w:bottom w:val="none" w:sz="0" w:space="0" w:color="auto"/>
        <w:right w:val="none" w:sz="0" w:space="0" w:color="auto"/>
      </w:divBdr>
    </w:div>
    <w:div w:id="908612229">
      <w:bodyDiv w:val="1"/>
      <w:marLeft w:val="0"/>
      <w:marRight w:val="0"/>
      <w:marTop w:val="0"/>
      <w:marBottom w:val="0"/>
      <w:divBdr>
        <w:top w:val="none" w:sz="0" w:space="0" w:color="auto"/>
        <w:left w:val="none" w:sz="0" w:space="0" w:color="auto"/>
        <w:bottom w:val="none" w:sz="0" w:space="0" w:color="auto"/>
        <w:right w:val="none" w:sz="0" w:space="0" w:color="auto"/>
      </w:divBdr>
    </w:div>
    <w:div w:id="941031812">
      <w:bodyDiv w:val="1"/>
      <w:marLeft w:val="0"/>
      <w:marRight w:val="0"/>
      <w:marTop w:val="0"/>
      <w:marBottom w:val="0"/>
      <w:divBdr>
        <w:top w:val="none" w:sz="0" w:space="0" w:color="auto"/>
        <w:left w:val="none" w:sz="0" w:space="0" w:color="auto"/>
        <w:bottom w:val="none" w:sz="0" w:space="0" w:color="auto"/>
        <w:right w:val="none" w:sz="0" w:space="0" w:color="auto"/>
      </w:divBdr>
    </w:div>
    <w:div w:id="953712113">
      <w:bodyDiv w:val="1"/>
      <w:marLeft w:val="0"/>
      <w:marRight w:val="0"/>
      <w:marTop w:val="0"/>
      <w:marBottom w:val="0"/>
      <w:divBdr>
        <w:top w:val="none" w:sz="0" w:space="0" w:color="auto"/>
        <w:left w:val="none" w:sz="0" w:space="0" w:color="auto"/>
        <w:bottom w:val="none" w:sz="0" w:space="0" w:color="auto"/>
        <w:right w:val="none" w:sz="0" w:space="0" w:color="auto"/>
      </w:divBdr>
    </w:div>
    <w:div w:id="1023020993">
      <w:bodyDiv w:val="1"/>
      <w:marLeft w:val="0"/>
      <w:marRight w:val="0"/>
      <w:marTop w:val="0"/>
      <w:marBottom w:val="0"/>
      <w:divBdr>
        <w:top w:val="none" w:sz="0" w:space="0" w:color="auto"/>
        <w:left w:val="none" w:sz="0" w:space="0" w:color="auto"/>
        <w:bottom w:val="none" w:sz="0" w:space="0" w:color="auto"/>
        <w:right w:val="none" w:sz="0" w:space="0" w:color="auto"/>
      </w:divBdr>
    </w:div>
    <w:div w:id="1040861643">
      <w:bodyDiv w:val="1"/>
      <w:marLeft w:val="0"/>
      <w:marRight w:val="0"/>
      <w:marTop w:val="0"/>
      <w:marBottom w:val="0"/>
      <w:divBdr>
        <w:top w:val="none" w:sz="0" w:space="0" w:color="auto"/>
        <w:left w:val="none" w:sz="0" w:space="0" w:color="auto"/>
        <w:bottom w:val="none" w:sz="0" w:space="0" w:color="auto"/>
        <w:right w:val="none" w:sz="0" w:space="0" w:color="auto"/>
      </w:divBdr>
      <w:divsChild>
        <w:div w:id="665788977">
          <w:marLeft w:val="0"/>
          <w:marRight w:val="0"/>
          <w:marTop w:val="0"/>
          <w:marBottom w:val="0"/>
          <w:divBdr>
            <w:top w:val="none" w:sz="0" w:space="0" w:color="auto"/>
            <w:left w:val="none" w:sz="0" w:space="0" w:color="auto"/>
            <w:bottom w:val="none" w:sz="0" w:space="0" w:color="auto"/>
            <w:right w:val="none" w:sz="0" w:space="0" w:color="auto"/>
          </w:divBdr>
          <w:divsChild>
            <w:div w:id="1429346520">
              <w:marLeft w:val="0"/>
              <w:marRight w:val="0"/>
              <w:marTop w:val="0"/>
              <w:marBottom w:val="0"/>
              <w:divBdr>
                <w:top w:val="none" w:sz="0" w:space="0" w:color="auto"/>
                <w:left w:val="none" w:sz="0" w:space="0" w:color="auto"/>
                <w:bottom w:val="none" w:sz="0" w:space="0" w:color="auto"/>
                <w:right w:val="none" w:sz="0" w:space="0" w:color="auto"/>
              </w:divBdr>
              <w:divsChild>
                <w:div w:id="353459272">
                  <w:marLeft w:val="0"/>
                  <w:marRight w:val="0"/>
                  <w:marTop w:val="0"/>
                  <w:marBottom w:val="0"/>
                  <w:divBdr>
                    <w:top w:val="none" w:sz="0" w:space="0" w:color="auto"/>
                    <w:left w:val="none" w:sz="0" w:space="0" w:color="auto"/>
                    <w:bottom w:val="none" w:sz="0" w:space="0" w:color="auto"/>
                    <w:right w:val="none" w:sz="0" w:space="0" w:color="auto"/>
                  </w:divBdr>
                  <w:divsChild>
                    <w:div w:id="946693815">
                      <w:marLeft w:val="-225"/>
                      <w:marRight w:val="-225"/>
                      <w:marTop w:val="0"/>
                      <w:marBottom w:val="0"/>
                      <w:divBdr>
                        <w:top w:val="none" w:sz="0" w:space="0" w:color="auto"/>
                        <w:left w:val="none" w:sz="0" w:space="0" w:color="auto"/>
                        <w:bottom w:val="none" w:sz="0" w:space="0" w:color="auto"/>
                        <w:right w:val="none" w:sz="0" w:space="0" w:color="auto"/>
                      </w:divBdr>
                      <w:divsChild>
                        <w:div w:id="1753887585">
                          <w:marLeft w:val="0"/>
                          <w:marRight w:val="0"/>
                          <w:marTop w:val="0"/>
                          <w:marBottom w:val="0"/>
                          <w:divBdr>
                            <w:top w:val="none" w:sz="0" w:space="0" w:color="auto"/>
                            <w:left w:val="none" w:sz="0" w:space="0" w:color="auto"/>
                            <w:bottom w:val="none" w:sz="0" w:space="0" w:color="auto"/>
                            <w:right w:val="none" w:sz="0" w:space="0" w:color="auto"/>
                          </w:divBdr>
                          <w:divsChild>
                            <w:div w:id="154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1939">
      <w:bodyDiv w:val="1"/>
      <w:marLeft w:val="0"/>
      <w:marRight w:val="0"/>
      <w:marTop w:val="0"/>
      <w:marBottom w:val="0"/>
      <w:divBdr>
        <w:top w:val="none" w:sz="0" w:space="0" w:color="auto"/>
        <w:left w:val="none" w:sz="0" w:space="0" w:color="auto"/>
        <w:bottom w:val="none" w:sz="0" w:space="0" w:color="auto"/>
        <w:right w:val="none" w:sz="0" w:space="0" w:color="auto"/>
      </w:divBdr>
    </w:div>
    <w:div w:id="1103497024">
      <w:bodyDiv w:val="1"/>
      <w:marLeft w:val="0"/>
      <w:marRight w:val="0"/>
      <w:marTop w:val="0"/>
      <w:marBottom w:val="0"/>
      <w:divBdr>
        <w:top w:val="none" w:sz="0" w:space="0" w:color="auto"/>
        <w:left w:val="none" w:sz="0" w:space="0" w:color="auto"/>
        <w:bottom w:val="none" w:sz="0" w:space="0" w:color="auto"/>
        <w:right w:val="none" w:sz="0" w:space="0" w:color="auto"/>
      </w:divBdr>
    </w:div>
    <w:div w:id="1116635094">
      <w:bodyDiv w:val="1"/>
      <w:marLeft w:val="0"/>
      <w:marRight w:val="0"/>
      <w:marTop w:val="0"/>
      <w:marBottom w:val="0"/>
      <w:divBdr>
        <w:top w:val="none" w:sz="0" w:space="0" w:color="auto"/>
        <w:left w:val="none" w:sz="0" w:space="0" w:color="auto"/>
        <w:bottom w:val="none" w:sz="0" w:space="0" w:color="auto"/>
        <w:right w:val="none" w:sz="0" w:space="0" w:color="auto"/>
      </w:divBdr>
    </w:div>
    <w:div w:id="1188369653">
      <w:bodyDiv w:val="1"/>
      <w:marLeft w:val="0"/>
      <w:marRight w:val="0"/>
      <w:marTop w:val="0"/>
      <w:marBottom w:val="0"/>
      <w:divBdr>
        <w:top w:val="none" w:sz="0" w:space="0" w:color="auto"/>
        <w:left w:val="none" w:sz="0" w:space="0" w:color="auto"/>
        <w:bottom w:val="none" w:sz="0" w:space="0" w:color="auto"/>
        <w:right w:val="none" w:sz="0" w:space="0" w:color="auto"/>
      </w:divBdr>
      <w:divsChild>
        <w:div w:id="1491409700">
          <w:marLeft w:val="41"/>
          <w:marRight w:val="41"/>
          <w:marTop w:val="0"/>
          <w:marBottom w:val="0"/>
          <w:divBdr>
            <w:top w:val="none" w:sz="0" w:space="0" w:color="auto"/>
            <w:left w:val="none" w:sz="0" w:space="0" w:color="auto"/>
            <w:bottom w:val="none" w:sz="0" w:space="0" w:color="auto"/>
            <w:right w:val="none" w:sz="0" w:space="0" w:color="auto"/>
          </w:divBdr>
          <w:divsChild>
            <w:div w:id="1133330198">
              <w:marLeft w:val="0"/>
              <w:marRight w:val="0"/>
              <w:marTop w:val="0"/>
              <w:marBottom w:val="57"/>
              <w:divBdr>
                <w:top w:val="none" w:sz="0" w:space="0" w:color="auto"/>
                <w:left w:val="none" w:sz="0" w:space="0" w:color="auto"/>
                <w:bottom w:val="none" w:sz="0" w:space="0" w:color="auto"/>
                <w:right w:val="none" w:sz="0" w:space="0" w:color="auto"/>
              </w:divBdr>
            </w:div>
          </w:divsChild>
        </w:div>
      </w:divsChild>
    </w:div>
    <w:div w:id="1194221642">
      <w:bodyDiv w:val="1"/>
      <w:marLeft w:val="0"/>
      <w:marRight w:val="0"/>
      <w:marTop w:val="0"/>
      <w:marBottom w:val="0"/>
      <w:divBdr>
        <w:top w:val="none" w:sz="0" w:space="0" w:color="auto"/>
        <w:left w:val="none" w:sz="0" w:space="0" w:color="auto"/>
        <w:bottom w:val="none" w:sz="0" w:space="0" w:color="auto"/>
        <w:right w:val="none" w:sz="0" w:space="0" w:color="auto"/>
      </w:divBdr>
      <w:divsChild>
        <w:div w:id="2026861988">
          <w:marLeft w:val="0"/>
          <w:marRight w:val="0"/>
          <w:marTop w:val="0"/>
          <w:marBottom w:val="0"/>
          <w:divBdr>
            <w:top w:val="none" w:sz="0" w:space="0" w:color="auto"/>
            <w:left w:val="none" w:sz="0" w:space="0" w:color="auto"/>
            <w:bottom w:val="none" w:sz="0" w:space="0" w:color="auto"/>
            <w:right w:val="none" w:sz="0" w:space="0" w:color="auto"/>
          </w:divBdr>
          <w:divsChild>
            <w:div w:id="23672836">
              <w:marLeft w:val="0"/>
              <w:marRight w:val="0"/>
              <w:marTop w:val="0"/>
              <w:marBottom w:val="0"/>
              <w:divBdr>
                <w:top w:val="none" w:sz="0" w:space="0" w:color="auto"/>
                <w:left w:val="none" w:sz="0" w:space="0" w:color="auto"/>
                <w:bottom w:val="none" w:sz="0" w:space="0" w:color="auto"/>
                <w:right w:val="none" w:sz="0" w:space="0" w:color="auto"/>
              </w:divBdr>
              <w:divsChild>
                <w:div w:id="490483255">
                  <w:marLeft w:val="0"/>
                  <w:marRight w:val="0"/>
                  <w:marTop w:val="0"/>
                  <w:marBottom w:val="0"/>
                  <w:divBdr>
                    <w:top w:val="none" w:sz="0" w:space="0" w:color="auto"/>
                    <w:left w:val="none" w:sz="0" w:space="0" w:color="auto"/>
                    <w:bottom w:val="none" w:sz="0" w:space="0" w:color="auto"/>
                    <w:right w:val="none" w:sz="0" w:space="0" w:color="auto"/>
                  </w:divBdr>
                  <w:divsChild>
                    <w:div w:id="2072069849">
                      <w:marLeft w:val="-225"/>
                      <w:marRight w:val="-225"/>
                      <w:marTop w:val="0"/>
                      <w:marBottom w:val="0"/>
                      <w:divBdr>
                        <w:top w:val="none" w:sz="0" w:space="0" w:color="auto"/>
                        <w:left w:val="none" w:sz="0" w:space="0" w:color="auto"/>
                        <w:bottom w:val="none" w:sz="0" w:space="0" w:color="auto"/>
                        <w:right w:val="none" w:sz="0" w:space="0" w:color="auto"/>
                      </w:divBdr>
                      <w:divsChild>
                        <w:div w:id="1017081333">
                          <w:marLeft w:val="0"/>
                          <w:marRight w:val="0"/>
                          <w:marTop w:val="0"/>
                          <w:marBottom w:val="0"/>
                          <w:divBdr>
                            <w:top w:val="none" w:sz="0" w:space="0" w:color="auto"/>
                            <w:left w:val="none" w:sz="0" w:space="0" w:color="auto"/>
                            <w:bottom w:val="none" w:sz="0" w:space="0" w:color="auto"/>
                            <w:right w:val="none" w:sz="0" w:space="0" w:color="auto"/>
                          </w:divBdr>
                          <w:divsChild>
                            <w:div w:id="17808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3535">
      <w:bodyDiv w:val="1"/>
      <w:marLeft w:val="0"/>
      <w:marRight w:val="0"/>
      <w:marTop w:val="0"/>
      <w:marBottom w:val="0"/>
      <w:divBdr>
        <w:top w:val="none" w:sz="0" w:space="0" w:color="auto"/>
        <w:left w:val="none" w:sz="0" w:space="0" w:color="auto"/>
        <w:bottom w:val="none" w:sz="0" w:space="0" w:color="auto"/>
        <w:right w:val="none" w:sz="0" w:space="0" w:color="auto"/>
      </w:divBdr>
      <w:divsChild>
        <w:div w:id="587151736">
          <w:marLeft w:val="0"/>
          <w:marRight w:val="0"/>
          <w:marTop w:val="0"/>
          <w:marBottom w:val="0"/>
          <w:divBdr>
            <w:top w:val="none" w:sz="0" w:space="0" w:color="auto"/>
            <w:left w:val="none" w:sz="0" w:space="0" w:color="auto"/>
            <w:bottom w:val="none" w:sz="0" w:space="0" w:color="auto"/>
            <w:right w:val="none" w:sz="0" w:space="0" w:color="auto"/>
          </w:divBdr>
          <w:divsChild>
            <w:div w:id="592401732">
              <w:marLeft w:val="0"/>
              <w:marRight w:val="0"/>
              <w:marTop w:val="0"/>
              <w:marBottom w:val="0"/>
              <w:divBdr>
                <w:top w:val="none" w:sz="0" w:space="0" w:color="auto"/>
                <w:left w:val="none" w:sz="0" w:space="0" w:color="auto"/>
                <w:bottom w:val="none" w:sz="0" w:space="0" w:color="auto"/>
                <w:right w:val="none" w:sz="0" w:space="0" w:color="auto"/>
              </w:divBdr>
              <w:divsChild>
                <w:div w:id="202599709">
                  <w:marLeft w:val="0"/>
                  <w:marRight w:val="0"/>
                  <w:marTop w:val="0"/>
                  <w:marBottom w:val="0"/>
                  <w:divBdr>
                    <w:top w:val="none" w:sz="0" w:space="0" w:color="auto"/>
                    <w:left w:val="none" w:sz="0" w:space="0" w:color="auto"/>
                    <w:bottom w:val="none" w:sz="0" w:space="0" w:color="auto"/>
                    <w:right w:val="none" w:sz="0" w:space="0" w:color="auto"/>
                  </w:divBdr>
                  <w:divsChild>
                    <w:div w:id="420490620">
                      <w:marLeft w:val="0"/>
                      <w:marRight w:val="0"/>
                      <w:marTop w:val="0"/>
                      <w:marBottom w:val="0"/>
                      <w:divBdr>
                        <w:top w:val="none" w:sz="0" w:space="0" w:color="auto"/>
                        <w:left w:val="none" w:sz="0" w:space="0" w:color="auto"/>
                        <w:bottom w:val="none" w:sz="0" w:space="0" w:color="auto"/>
                        <w:right w:val="none" w:sz="0" w:space="0" w:color="auto"/>
                      </w:divBdr>
                      <w:divsChild>
                        <w:div w:id="8665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6606">
      <w:bodyDiv w:val="1"/>
      <w:marLeft w:val="0"/>
      <w:marRight w:val="0"/>
      <w:marTop w:val="0"/>
      <w:marBottom w:val="0"/>
      <w:divBdr>
        <w:top w:val="none" w:sz="0" w:space="0" w:color="auto"/>
        <w:left w:val="none" w:sz="0" w:space="0" w:color="auto"/>
        <w:bottom w:val="none" w:sz="0" w:space="0" w:color="auto"/>
        <w:right w:val="none" w:sz="0" w:space="0" w:color="auto"/>
      </w:divBdr>
    </w:div>
    <w:div w:id="1307782091">
      <w:bodyDiv w:val="1"/>
      <w:marLeft w:val="0"/>
      <w:marRight w:val="0"/>
      <w:marTop w:val="0"/>
      <w:marBottom w:val="0"/>
      <w:divBdr>
        <w:top w:val="none" w:sz="0" w:space="0" w:color="auto"/>
        <w:left w:val="none" w:sz="0" w:space="0" w:color="auto"/>
        <w:bottom w:val="none" w:sz="0" w:space="0" w:color="auto"/>
        <w:right w:val="none" w:sz="0" w:space="0" w:color="auto"/>
      </w:divBdr>
      <w:divsChild>
        <w:div w:id="1108156163">
          <w:marLeft w:val="0"/>
          <w:marRight w:val="0"/>
          <w:marTop w:val="0"/>
          <w:marBottom w:val="0"/>
          <w:divBdr>
            <w:top w:val="none" w:sz="0" w:space="0" w:color="auto"/>
            <w:left w:val="none" w:sz="0" w:space="0" w:color="auto"/>
            <w:bottom w:val="none" w:sz="0" w:space="0" w:color="auto"/>
            <w:right w:val="none" w:sz="0" w:space="0" w:color="auto"/>
          </w:divBdr>
          <w:divsChild>
            <w:div w:id="1528828374">
              <w:marLeft w:val="0"/>
              <w:marRight w:val="0"/>
              <w:marTop w:val="0"/>
              <w:marBottom w:val="0"/>
              <w:divBdr>
                <w:top w:val="none" w:sz="0" w:space="0" w:color="auto"/>
                <w:left w:val="none" w:sz="0" w:space="0" w:color="auto"/>
                <w:bottom w:val="none" w:sz="0" w:space="0" w:color="auto"/>
                <w:right w:val="none" w:sz="0" w:space="0" w:color="auto"/>
              </w:divBdr>
              <w:divsChild>
                <w:div w:id="629365709">
                  <w:marLeft w:val="0"/>
                  <w:marRight w:val="0"/>
                  <w:marTop w:val="0"/>
                  <w:marBottom w:val="0"/>
                  <w:divBdr>
                    <w:top w:val="none" w:sz="0" w:space="0" w:color="auto"/>
                    <w:left w:val="none" w:sz="0" w:space="0" w:color="auto"/>
                    <w:bottom w:val="none" w:sz="0" w:space="0" w:color="auto"/>
                    <w:right w:val="none" w:sz="0" w:space="0" w:color="auto"/>
                  </w:divBdr>
                  <w:divsChild>
                    <w:div w:id="360984183">
                      <w:marLeft w:val="0"/>
                      <w:marRight w:val="0"/>
                      <w:marTop w:val="0"/>
                      <w:marBottom w:val="0"/>
                      <w:divBdr>
                        <w:top w:val="none" w:sz="0" w:space="0" w:color="auto"/>
                        <w:left w:val="none" w:sz="0" w:space="0" w:color="auto"/>
                        <w:bottom w:val="none" w:sz="0" w:space="0" w:color="auto"/>
                        <w:right w:val="none" w:sz="0" w:space="0" w:color="auto"/>
                      </w:divBdr>
                      <w:divsChild>
                        <w:div w:id="19606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1541">
      <w:bodyDiv w:val="1"/>
      <w:marLeft w:val="0"/>
      <w:marRight w:val="0"/>
      <w:marTop w:val="0"/>
      <w:marBottom w:val="0"/>
      <w:divBdr>
        <w:top w:val="none" w:sz="0" w:space="0" w:color="auto"/>
        <w:left w:val="none" w:sz="0" w:space="0" w:color="auto"/>
        <w:bottom w:val="none" w:sz="0" w:space="0" w:color="auto"/>
        <w:right w:val="none" w:sz="0" w:space="0" w:color="auto"/>
      </w:divBdr>
      <w:divsChild>
        <w:div w:id="968169616">
          <w:marLeft w:val="0"/>
          <w:marRight w:val="0"/>
          <w:marTop w:val="0"/>
          <w:marBottom w:val="0"/>
          <w:divBdr>
            <w:top w:val="none" w:sz="0" w:space="0" w:color="auto"/>
            <w:left w:val="none" w:sz="0" w:space="0" w:color="auto"/>
            <w:bottom w:val="none" w:sz="0" w:space="0" w:color="auto"/>
            <w:right w:val="none" w:sz="0" w:space="0" w:color="auto"/>
          </w:divBdr>
          <w:divsChild>
            <w:div w:id="791172033">
              <w:marLeft w:val="0"/>
              <w:marRight w:val="0"/>
              <w:marTop w:val="0"/>
              <w:marBottom w:val="0"/>
              <w:divBdr>
                <w:top w:val="none" w:sz="0" w:space="0" w:color="auto"/>
                <w:left w:val="none" w:sz="0" w:space="0" w:color="auto"/>
                <w:bottom w:val="none" w:sz="0" w:space="0" w:color="auto"/>
                <w:right w:val="none" w:sz="0" w:space="0" w:color="auto"/>
              </w:divBdr>
              <w:divsChild>
                <w:div w:id="581837841">
                  <w:marLeft w:val="0"/>
                  <w:marRight w:val="0"/>
                  <w:marTop w:val="0"/>
                  <w:marBottom w:val="0"/>
                  <w:divBdr>
                    <w:top w:val="none" w:sz="0" w:space="0" w:color="auto"/>
                    <w:left w:val="none" w:sz="0" w:space="0" w:color="auto"/>
                    <w:bottom w:val="none" w:sz="0" w:space="0" w:color="auto"/>
                    <w:right w:val="none" w:sz="0" w:space="0" w:color="auto"/>
                  </w:divBdr>
                  <w:divsChild>
                    <w:div w:id="41174382">
                      <w:marLeft w:val="-225"/>
                      <w:marRight w:val="-225"/>
                      <w:marTop w:val="0"/>
                      <w:marBottom w:val="0"/>
                      <w:divBdr>
                        <w:top w:val="none" w:sz="0" w:space="0" w:color="auto"/>
                        <w:left w:val="none" w:sz="0" w:space="0" w:color="auto"/>
                        <w:bottom w:val="none" w:sz="0" w:space="0" w:color="auto"/>
                        <w:right w:val="none" w:sz="0" w:space="0" w:color="auto"/>
                      </w:divBdr>
                      <w:divsChild>
                        <w:div w:id="654839022">
                          <w:marLeft w:val="0"/>
                          <w:marRight w:val="0"/>
                          <w:marTop w:val="0"/>
                          <w:marBottom w:val="0"/>
                          <w:divBdr>
                            <w:top w:val="none" w:sz="0" w:space="0" w:color="auto"/>
                            <w:left w:val="none" w:sz="0" w:space="0" w:color="auto"/>
                            <w:bottom w:val="none" w:sz="0" w:space="0" w:color="auto"/>
                            <w:right w:val="none" w:sz="0" w:space="0" w:color="auto"/>
                          </w:divBdr>
                          <w:divsChild>
                            <w:div w:id="518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0255">
      <w:bodyDiv w:val="1"/>
      <w:marLeft w:val="0"/>
      <w:marRight w:val="0"/>
      <w:marTop w:val="0"/>
      <w:marBottom w:val="0"/>
      <w:divBdr>
        <w:top w:val="none" w:sz="0" w:space="0" w:color="auto"/>
        <w:left w:val="none" w:sz="0" w:space="0" w:color="auto"/>
        <w:bottom w:val="none" w:sz="0" w:space="0" w:color="auto"/>
        <w:right w:val="none" w:sz="0" w:space="0" w:color="auto"/>
      </w:divBdr>
      <w:divsChild>
        <w:div w:id="920332203">
          <w:marLeft w:val="0"/>
          <w:marRight w:val="0"/>
          <w:marTop w:val="0"/>
          <w:marBottom w:val="0"/>
          <w:divBdr>
            <w:top w:val="none" w:sz="0" w:space="0" w:color="auto"/>
            <w:left w:val="none" w:sz="0" w:space="0" w:color="auto"/>
            <w:bottom w:val="none" w:sz="0" w:space="0" w:color="auto"/>
            <w:right w:val="none" w:sz="0" w:space="0" w:color="auto"/>
          </w:divBdr>
          <w:divsChild>
            <w:div w:id="2094281783">
              <w:marLeft w:val="0"/>
              <w:marRight w:val="0"/>
              <w:marTop w:val="0"/>
              <w:marBottom w:val="0"/>
              <w:divBdr>
                <w:top w:val="none" w:sz="0" w:space="0" w:color="auto"/>
                <w:left w:val="none" w:sz="0" w:space="0" w:color="auto"/>
                <w:bottom w:val="none" w:sz="0" w:space="0" w:color="auto"/>
                <w:right w:val="none" w:sz="0" w:space="0" w:color="auto"/>
              </w:divBdr>
              <w:divsChild>
                <w:div w:id="529731355">
                  <w:marLeft w:val="0"/>
                  <w:marRight w:val="0"/>
                  <w:marTop w:val="0"/>
                  <w:marBottom w:val="0"/>
                  <w:divBdr>
                    <w:top w:val="none" w:sz="0" w:space="0" w:color="auto"/>
                    <w:left w:val="none" w:sz="0" w:space="0" w:color="auto"/>
                    <w:bottom w:val="none" w:sz="0" w:space="0" w:color="auto"/>
                    <w:right w:val="none" w:sz="0" w:space="0" w:color="auto"/>
                  </w:divBdr>
                  <w:divsChild>
                    <w:div w:id="1366635287">
                      <w:marLeft w:val="-225"/>
                      <w:marRight w:val="-225"/>
                      <w:marTop w:val="0"/>
                      <w:marBottom w:val="0"/>
                      <w:divBdr>
                        <w:top w:val="none" w:sz="0" w:space="0" w:color="auto"/>
                        <w:left w:val="none" w:sz="0" w:space="0" w:color="auto"/>
                        <w:bottom w:val="none" w:sz="0" w:space="0" w:color="auto"/>
                        <w:right w:val="none" w:sz="0" w:space="0" w:color="auto"/>
                      </w:divBdr>
                      <w:divsChild>
                        <w:div w:id="309751144">
                          <w:marLeft w:val="0"/>
                          <w:marRight w:val="0"/>
                          <w:marTop w:val="0"/>
                          <w:marBottom w:val="0"/>
                          <w:divBdr>
                            <w:top w:val="none" w:sz="0" w:space="0" w:color="auto"/>
                            <w:left w:val="none" w:sz="0" w:space="0" w:color="auto"/>
                            <w:bottom w:val="none" w:sz="0" w:space="0" w:color="auto"/>
                            <w:right w:val="none" w:sz="0" w:space="0" w:color="auto"/>
                          </w:divBdr>
                          <w:divsChild>
                            <w:div w:id="11906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80456">
      <w:bodyDiv w:val="1"/>
      <w:marLeft w:val="0"/>
      <w:marRight w:val="0"/>
      <w:marTop w:val="0"/>
      <w:marBottom w:val="0"/>
      <w:divBdr>
        <w:top w:val="none" w:sz="0" w:space="0" w:color="auto"/>
        <w:left w:val="none" w:sz="0" w:space="0" w:color="auto"/>
        <w:bottom w:val="none" w:sz="0" w:space="0" w:color="auto"/>
        <w:right w:val="none" w:sz="0" w:space="0" w:color="auto"/>
      </w:divBdr>
      <w:divsChild>
        <w:div w:id="1518272761">
          <w:marLeft w:val="0"/>
          <w:marRight w:val="0"/>
          <w:marTop w:val="0"/>
          <w:marBottom w:val="0"/>
          <w:divBdr>
            <w:top w:val="none" w:sz="0" w:space="0" w:color="auto"/>
            <w:left w:val="none" w:sz="0" w:space="0" w:color="auto"/>
            <w:bottom w:val="none" w:sz="0" w:space="0" w:color="auto"/>
            <w:right w:val="none" w:sz="0" w:space="0" w:color="auto"/>
          </w:divBdr>
          <w:divsChild>
            <w:div w:id="2068528518">
              <w:marLeft w:val="0"/>
              <w:marRight w:val="0"/>
              <w:marTop w:val="0"/>
              <w:marBottom w:val="0"/>
              <w:divBdr>
                <w:top w:val="none" w:sz="0" w:space="0" w:color="auto"/>
                <w:left w:val="none" w:sz="0" w:space="0" w:color="auto"/>
                <w:bottom w:val="none" w:sz="0" w:space="0" w:color="auto"/>
                <w:right w:val="none" w:sz="0" w:space="0" w:color="auto"/>
              </w:divBdr>
              <w:divsChild>
                <w:div w:id="1901674867">
                  <w:marLeft w:val="0"/>
                  <w:marRight w:val="0"/>
                  <w:marTop w:val="0"/>
                  <w:marBottom w:val="0"/>
                  <w:divBdr>
                    <w:top w:val="none" w:sz="0" w:space="0" w:color="auto"/>
                    <w:left w:val="none" w:sz="0" w:space="0" w:color="auto"/>
                    <w:bottom w:val="none" w:sz="0" w:space="0" w:color="auto"/>
                    <w:right w:val="none" w:sz="0" w:space="0" w:color="auto"/>
                  </w:divBdr>
                  <w:divsChild>
                    <w:div w:id="1754082563">
                      <w:marLeft w:val="-225"/>
                      <w:marRight w:val="-225"/>
                      <w:marTop w:val="0"/>
                      <w:marBottom w:val="0"/>
                      <w:divBdr>
                        <w:top w:val="none" w:sz="0" w:space="0" w:color="auto"/>
                        <w:left w:val="none" w:sz="0" w:space="0" w:color="auto"/>
                        <w:bottom w:val="none" w:sz="0" w:space="0" w:color="auto"/>
                        <w:right w:val="none" w:sz="0" w:space="0" w:color="auto"/>
                      </w:divBdr>
                      <w:divsChild>
                        <w:div w:id="1617521384">
                          <w:marLeft w:val="0"/>
                          <w:marRight w:val="0"/>
                          <w:marTop w:val="0"/>
                          <w:marBottom w:val="0"/>
                          <w:divBdr>
                            <w:top w:val="none" w:sz="0" w:space="0" w:color="auto"/>
                            <w:left w:val="none" w:sz="0" w:space="0" w:color="auto"/>
                            <w:bottom w:val="none" w:sz="0" w:space="0" w:color="auto"/>
                            <w:right w:val="none" w:sz="0" w:space="0" w:color="auto"/>
                          </w:divBdr>
                          <w:divsChild>
                            <w:div w:id="8304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767621">
      <w:bodyDiv w:val="1"/>
      <w:marLeft w:val="0"/>
      <w:marRight w:val="0"/>
      <w:marTop w:val="0"/>
      <w:marBottom w:val="0"/>
      <w:divBdr>
        <w:top w:val="none" w:sz="0" w:space="0" w:color="auto"/>
        <w:left w:val="none" w:sz="0" w:space="0" w:color="auto"/>
        <w:bottom w:val="none" w:sz="0" w:space="0" w:color="auto"/>
        <w:right w:val="none" w:sz="0" w:space="0" w:color="auto"/>
      </w:divBdr>
    </w:div>
    <w:div w:id="1537043322">
      <w:bodyDiv w:val="1"/>
      <w:marLeft w:val="0"/>
      <w:marRight w:val="0"/>
      <w:marTop w:val="0"/>
      <w:marBottom w:val="0"/>
      <w:divBdr>
        <w:top w:val="none" w:sz="0" w:space="0" w:color="auto"/>
        <w:left w:val="none" w:sz="0" w:space="0" w:color="auto"/>
        <w:bottom w:val="none" w:sz="0" w:space="0" w:color="auto"/>
        <w:right w:val="none" w:sz="0" w:space="0" w:color="auto"/>
      </w:divBdr>
    </w:div>
    <w:div w:id="1593003519">
      <w:bodyDiv w:val="1"/>
      <w:marLeft w:val="0"/>
      <w:marRight w:val="0"/>
      <w:marTop w:val="0"/>
      <w:marBottom w:val="0"/>
      <w:divBdr>
        <w:top w:val="none" w:sz="0" w:space="0" w:color="auto"/>
        <w:left w:val="none" w:sz="0" w:space="0" w:color="auto"/>
        <w:bottom w:val="none" w:sz="0" w:space="0" w:color="auto"/>
        <w:right w:val="none" w:sz="0" w:space="0" w:color="auto"/>
      </w:divBdr>
    </w:div>
    <w:div w:id="1633166857">
      <w:bodyDiv w:val="1"/>
      <w:marLeft w:val="0"/>
      <w:marRight w:val="0"/>
      <w:marTop w:val="0"/>
      <w:marBottom w:val="0"/>
      <w:divBdr>
        <w:top w:val="none" w:sz="0" w:space="0" w:color="auto"/>
        <w:left w:val="none" w:sz="0" w:space="0" w:color="auto"/>
        <w:bottom w:val="none" w:sz="0" w:space="0" w:color="auto"/>
        <w:right w:val="none" w:sz="0" w:space="0" w:color="auto"/>
      </w:divBdr>
      <w:divsChild>
        <w:div w:id="601763342">
          <w:marLeft w:val="0"/>
          <w:marRight w:val="0"/>
          <w:marTop w:val="0"/>
          <w:marBottom w:val="0"/>
          <w:divBdr>
            <w:top w:val="none" w:sz="0" w:space="0" w:color="auto"/>
            <w:left w:val="none" w:sz="0" w:space="0" w:color="auto"/>
            <w:bottom w:val="none" w:sz="0" w:space="0" w:color="auto"/>
            <w:right w:val="none" w:sz="0" w:space="0" w:color="auto"/>
          </w:divBdr>
          <w:divsChild>
            <w:div w:id="469831582">
              <w:marLeft w:val="0"/>
              <w:marRight w:val="0"/>
              <w:marTop w:val="0"/>
              <w:marBottom w:val="0"/>
              <w:divBdr>
                <w:top w:val="none" w:sz="0" w:space="0" w:color="auto"/>
                <w:left w:val="none" w:sz="0" w:space="0" w:color="auto"/>
                <w:bottom w:val="none" w:sz="0" w:space="0" w:color="auto"/>
                <w:right w:val="none" w:sz="0" w:space="0" w:color="auto"/>
              </w:divBdr>
              <w:divsChild>
                <w:div w:id="1422919051">
                  <w:marLeft w:val="0"/>
                  <w:marRight w:val="0"/>
                  <w:marTop w:val="0"/>
                  <w:marBottom w:val="0"/>
                  <w:divBdr>
                    <w:top w:val="none" w:sz="0" w:space="0" w:color="auto"/>
                    <w:left w:val="none" w:sz="0" w:space="0" w:color="auto"/>
                    <w:bottom w:val="none" w:sz="0" w:space="0" w:color="auto"/>
                    <w:right w:val="none" w:sz="0" w:space="0" w:color="auto"/>
                  </w:divBdr>
                  <w:divsChild>
                    <w:div w:id="1639021886">
                      <w:marLeft w:val="-225"/>
                      <w:marRight w:val="-225"/>
                      <w:marTop w:val="0"/>
                      <w:marBottom w:val="0"/>
                      <w:divBdr>
                        <w:top w:val="none" w:sz="0" w:space="0" w:color="auto"/>
                        <w:left w:val="none" w:sz="0" w:space="0" w:color="auto"/>
                        <w:bottom w:val="none" w:sz="0" w:space="0" w:color="auto"/>
                        <w:right w:val="none" w:sz="0" w:space="0" w:color="auto"/>
                      </w:divBdr>
                      <w:divsChild>
                        <w:div w:id="950285999">
                          <w:marLeft w:val="0"/>
                          <w:marRight w:val="0"/>
                          <w:marTop w:val="0"/>
                          <w:marBottom w:val="0"/>
                          <w:divBdr>
                            <w:top w:val="none" w:sz="0" w:space="0" w:color="auto"/>
                            <w:left w:val="none" w:sz="0" w:space="0" w:color="auto"/>
                            <w:bottom w:val="none" w:sz="0" w:space="0" w:color="auto"/>
                            <w:right w:val="none" w:sz="0" w:space="0" w:color="auto"/>
                          </w:divBdr>
                          <w:divsChild>
                            <w:div w:id="14672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58885">
      <w:bodyDiv w:val="1"/>
      <w:marLeft w:val="0"/>
      <w:marRight w:val="0"/>
      <w:marTop w:val="0"/>
      <w:marBottom w:val="0"/>
      <w:divBdr>
        <w:top w:val="none" w:sz="0" w:space="0" w:color="auto"/>
        <w:left w:val="none" w:sz="0" w:space="0" w:color="auto"/>
        <w:bottom w:val="none" w:sz="0" w:space="0" w:color="auto"/>
        <w:right w:val="none" w:sz="0" w:space="0" w:color="auto"/>
      </w:divBdr>
      <w:divsChild>
        <w:div w:id="248775639">
          <w:marLeft w:val="0"/>
          <w:marRight w:val="0"/>
          <w:marTop w:val="0"/>
          <w:marBottom w:val="0"/>
          <w:divBdr>
            <w:top w:val="none" w:sz="0" w:space="0" w:color="auto"/>
            <w:left w:val="none" w:sz="0" w:space="0" w:color="auto"/>
            <w:bottom w:val="none" w:sz="0" w:space="0" w:color="auto"/>
            <w:right w:val="none" w:sz="0" w:space="0" w:color="auto"/>
          </w:divBdr>
          <w:divsChild>
            <w:div w:id="1642537019">
              <w:marLeft w:val="0"/>
              <w:marRight w:val="0"/>
              <w:marTop w:val="0"/>
              <w:marBottom w:val="0"/>
              <w:divBdr>
                <w:top w:val="none" w:sz="0" w:space="0" w:color="auto"/>
                <w:left w:val="none" w:sz="0" w:space="0" w:color="auto"/>
                <w:bottom w:val="none" w:sz="0" w:space="0" w:color="auto"/>
                <w:right w:val="none" w:sz="0" w:space="0" w:color="auto"/>
              </w:divBdr>
              <w:divsChild>
                <w:div w:id="2130857912">
                  <w:marLeft w:val="0"/>
                  <w:marRight w:val="0"/>
                  <w:marTop w:val="0"/>
                  <w:marBottom w:val="0"/>
                  <w:divBdr>
                    <w:top w:val="none" w:sz="0" w:space="0" w:color="auto"/>
                    <w:left w:val="none" w:sz="0" w:space="0" w:color="auto"/>
                    <w:bottom w:val="none" w:sz="0" w:space="0" w:color="auto"/>
                    <w:right w:val="none" w:sz="0" w:space="0" w:color="auto"/>
                  </w:divBdr>
                  <w:divsChild>
                    <w:div w:id="1895240135">
                      <w:marLeft w:val="0"/>
                      <w:marRight w:val="0"/>
                      <w:marTop w:val="0"/>
                      <w:marBottom w:val="0"/>
                      <w:divBdr>
                        <w:top w:val="none" w:sz="0" w:space="0" w:color="auto"/>
                        <w:left w:val="none" w:sz="0" w:space="0" w:color="auto"/>
                        <w:bottom w:val="none" w:sz="0" w:space="0" w:color="auto"/>
                        <w:right w:val="none" w:sz="0" w:space="0" w:color="auto"/>
                      </w:divBdr>
                      <w:divsChild>
                        <w:div w:id="421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23803">
      <w:bodyDiv w:val="1"/>
      <w:marLeft w:val="0"/>
      <w:marRight w:val="0"/>
      <w:marTop w:val="0"/>
      <w:marBottom w:val="0"/>
      <w:divBdr>
        <w:top w:val="none" w:sz="0" w:space="0" w:color="auto"/>
        <w:left w:val="none" w:sz="0" w:space="0" w:color="auto"/>
        <w:bottom w:val="none" w:sz="0" w:space="0" w:color="auto"/>
        <w:right w:val="none" w:sz="0" w:space="0" w:color="auto"/>
      </w:divBdr>
    </w:div>
    <w:div w:id="1680424504">
      <w:bodyDiv w:val="1"/>
      <w:marLeft w:val="0"/>
      <w:marRight w:val="0"/>
      <w:marTop w:val="0"/>
      <w:marBottom w:val="0"/>
      <w:divBdr>
        <w:top w:val="none" w:sz="0" w:space="0" w:color="auto"/>
        <w:left w:val="none" w:sz="0" w:space="0" w:color="auto"/>
        <w:bottom w:val="none" w:sz="0" w:space="0" w:color="auto"/>
        <w:right w:val="none" w:sz="0" w:space="0" w:color="auto"/>
      </w:divBdr>
    </w:div>
    <w:div w:id="1693267042">
      <w:bodyDiv w:val="1"/>
      <w:marLeft w:val="0"/>
      <w:marRight w:val="0"/>
      <w:marTop w:val="0"/>
      <w:marBottom w:val="0"/>
      <w:divBdr>
        <w:top w:val="none" w:sz="0" w:space="0" w:color="auto"/>
        <w:left w:val="none" w:sz="0" w:space="0" w:color="auto"/>
        <w:bottom w:val="none" w:sz="0" w:space="0" w:color="auto"/>
        <w:right w:val="none" w:sz="0" w:space="0" w:color="auto"/>
      </w:divBdr>
    </w:div>
    <w:div w:id="1716201868">
      <w:bodyDiv w:val="1"/>
      <w:marLeft w:val="0"/>
      <w:marRight w:val="0"/>
      <w:marTop w:val="0"/>
      <w:marBottom w:val="0"/>
      <w:divBdr>
        <w:top w:val="none" w:sz="0" w:space="0" w:color="auto"/>
        <w:left w:val="none" w:sz="0" w:space="0" w:color="auto"/>
        <w:bottom w:val="none" w:sz="0" w:space="0" w:color="auto"/>
        <w:right w:val="none" w:sz="0" w:space="0" w:color="auto"/>
      </w:divBdr>
      <w:divsChild>
        <w:div w:id="1538741739">
          <w:marLeft w:val="-225"/>
          <w:marRight w:val="-225"/>
          <w:marTop w:val="0"/>
          <w:marBottom w:val="0"/>
          <w:divBdr>
            <w:top w:val="single" w:sz="6" w:space="0" w:color="FFEEBA"/>
            <w:left w:val="single" w:sz="6" w:space="0" w:color="FFEEBA"/>
            <w:bottom w:val="single" w:sz="6" w:space="0" w:color="FFEEBA"/>
            <w:right w:val="single" w:sz="6" w:space="0" w:color="FFEEBA"/>
          </w:divBdr>
          <w:divsChild>
            <w:div w:id="1657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98793">
      <w:bodyDiv w:val="1"/>
      <w:marLeft w:val="0"/>
      <w:marRight w:val="0"/>
      <w:marTop w:val="0"/>
      <w:marBottom w:val="0"/>
      <w:divBdr>
        <w:top w:val="none" w:sz="0" w:space="0" w:color="auto"/>
        <w:left w:val="none" w:sz="0" w:space="0" w:color="auto"/>
        <w:bottom w:val="none" w:sz="0" w:space="0" w:color="auto"/>
        <w:right w:val="none" w:sz="0" w:space="0" w:color="auto"/>
      </w:divBdr>
    </w:div>
    <w:div w:id="1789740997">
      <w:bodyDiv w:val="1"/>
      <w:marLeft w:val="0"/>
      <w:marRight w:val="0"/>
      <w:marTop w:val="0"/>
      <w:marBottom w:val="0"/>
      <w:divBdr>
        <w:top w:val="none" w:sz="0" w:space="0" w:color="auto"/>
        <w:left w:val="none" w:sz="0" w:space="0" w:color="auto"/>
        <w:bottom w:val="none" w:sz="0" w:space="0" w:color="auto"/>
        <w:right w:val="none" w:sz="0" w:space="0" w:color="auto"/>
      </w:divBdr>
    </w:div>
    <w:div w:id="1871992664">
      <w:bodyDiv w:val="1"/>
      <w:marLeft w:val="0"/>
      <w:marRight w:val="0"/>
      <w:marTop w:val="0"/>
      <w:marBottom w:val="0"/>
      <w:divBdr>
        <w:top w:val="none" w:sz="0" w:space="0" w:color="auto"/>
        <w:left w:val="none" w:sz="0" w:space="0" w:color="auto"/>
        <w:bottom w:val="none" w:sz="0" w:space="0" w:color="auto"/>
        <w:right w:val="none" w:sz="0" w:space="0" w:color="auto"/>
      </w:divBdr>
    </w:div>
    <w:div w:id="2020309619">
      <w:bodyDiv w:val="1"/>
      <w:marLeft w:val="0"/>
      <w:marRight w:val="0"/>
      <w:marTop w:val="0"/>
      <w:marBottom w:val="0"/>
      <w:divBdr>
        <w:top w:val="none" w:sz="0" w:space="0" w:color="auto"/>
        <w:left w:val="none" w:sz="0" w:space="0" w:color="auto"/>
        <w:bottom w:val="none" w:sz="0" w:space="0" w:color="auto"/>
        <w:right w:val="none" w:sz="0" w:space="0" w:color="auto"/>
      </w:divBdr>
    </w:div>
    <w:div w:id="20608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80D583-88B4-4E4E-9FDC-4ABA978F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4786</Words>
  <Characters>30154</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Klienten-Info</vt:lpstr>
    </vt:vector>
  </TitlesOfParts>
  <Company>BDO Austria GmbH</Company>
  <LinksUpToDate>false</LinksUpToDate>
  <CharactersWithSpaces>34871</CharactersWithSpaces>
  <SharedDoc>false</SharedDoc>
  <HLinks>
    <vt:vector size="36" baseType="variant">
      <vt:variant>
        <vt:i4>1441847</vt:i4>
      </vt:variant>
      <vt:variant>
        <vt:i4>32</vt:i4>
      </vt:variant>
      <vt:variant>
        <vt:i4>0</vt:i4>
      </vt:variant>
      <vt:variant>
        <vt:i4>5</vt:i4>
      </vt:variant>
      <vt:variant>
        <vt:lpwstr/>
      </vt:variant>
      <vt:variant>
        <vt:lpwstr>_Toc357617255</vt:lpwstr>
      </vt:variant>
      <vt:variant>
        <vt:i4>1441847</vt:i4>
      </vt:variant>
      <vt:variant>
        <vt:i4>26</vt:i4>
      </vt:variant>
      <vt:variant>
        <vt:i4>0</vt:i4>
      </vt:variant>
      <vt:variant>
        <vt:i4>5</vt:i4>
      </vt:variant>
      <vt:variant>
        <vt:lpwstr/>
      </vt:variant>
      <vt:variant>
        <vt:lpwstr>_Toc357617254</vt:lpwstr>
      </vt:variant>
      <vt:variant>
        <vt:i4>1441847</vt:i4>
      </vt:variant>
      <vt:variant>
        <vt:i4>20</vt:i4>
      </vt:variant>
      <vt:variant>
        <vt:i4>0</vt:i4>
      </vt:variant>
      <vt:variant>
        <vt:i4>5</vt:i4>
      </vt:variant>
      <vt:variant>
        <vt:lpwstr/>
      </vt:variant>
      <vt:variant>
        <vt:lpwstr>_Toc357617253</vt:lpwstr>
      </vt:variant>
      <vt:variant>
        <vt:i4>1441847</vt:i4>
      </vt:variant>
      <vt:variant>
        <vt:i4>14</vt:i4>
      </vt:variant>
      <vt:variant>
        <vt:i4>0</vt:i4>
      </vt:variant>
      <vt:variant>
        <vt:i4>5</vt:i4>
      </vt:variant>
      <vt:variant>
        <vt:lpwstr/>
      </vt:variant>
      <vt:variant>
        <vt:lpwstr>_Toc357617252</vt:lpwstr>
      </vt:variant>
      <vt:variant>
        <vt:i4>1441847</vt:i4>
      </vt:variant>
      <vt:variant>
        <vt:i4>8</vt:i4>
      </vt:variant>
      <vt:variant>
        <vt:i4>0</vt:i4>
      </vt:variant>
      <vt:variant>
        <vt:i4>5</vt:i4>
      </vt:variant>
      <vt:variant>
        <vt:lpwstr/>
      </vt:variant>
      <vt:variant>
        <vt:lpwstr>_Toc357617251</vt:lpwstr>
      </vt:variant>
      <vt:variant>
        <vt:i4>1441847</vt:i4>
      </vt:variant>
      <vt:variant>
        <vt:i4>2</vt:i4>
      </vt:variant>
      <vt:variant>
        <vt:i4>0</vt:i4>
      </vt:variant>
      <vt:variant>
        <vt:i4>5</vt:i4>
      </vt:variant>
      <vt:variant>
        <vt:lpwstr/>
      </vt:variant>
      <vt:variant>
        <vt:lpwstr>_Toc357617250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Klienten-Info</dc:title>
  <dc:creator>ap</dc:creator>
  <cp:lastModifiedBy>Dieter Rothmann</cp:lastModifiedBy>
  <cp:revision>6</cp:revision>
  <cp:lastPrinted>2021-06-16T22:52:00Z</cp:lastPrinted>
  <dcterms:created xsi:type="dcterms:W3CDTF">2021-06-16T22:49:00Z</dcterms:created>
  <dcterms:modified xsi:type="dcterms:W3CDTF">2021-06-16T22:52:00Z</dcterms:modified>
</cp:coreProperties>
</file>